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pPr>
      <w:bookmarkStart w:id="18" w:name="_GoBack"/>
      <w:bookmarkEnd w:id="18"/>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03.200</w:t>
      </w:r>
      <w:r>
        <w:fldChar w:fldCharType="end"/>
      </w:r>
      <w:bookmarkEnd w:id="0"/>
    </w:p>
    <w:p>
      <w:pPr>
        <w:pStyle w:val="125"/>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A 12</w:t>
      </w:r>
      <w:r>
        <w:fldChar w:fldCharType="end"/>
      </w:r>
      <w:bookmarkEnd w:id="1"/>
    </w:p>
    <w:tbl>
      <w:tblPr>
        <w:tblStyle w:val="43"/>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shd w:val="clear" w:color="auto" w:fill="auto"/>
            <w:noWrap w:val="0"/>
            <w:vAlign w:val="top"/>
          </w:tcPr>
          <w:p>
            <w:pPr>
              <w:pStyle w:val="125"/>
            </w:pP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12"/>
      </w:pPr>
      <w:r>
        <w:t>T/</w:t>
      </w:r>
      <w:r>
        <w:fldChar w:fldCharType="begin">
          <w:ffData>
            <w:name w:val="c5"/>
            <w:enabled/>
            <w:calcOnExit w:val="0"/>
            <w:textInput/>
          </w:ffData>
        </w:fldChar>
      </w:r>
      <w:bookmarkStart w:id="3" w:name="c5"/>
      <w:r>
        <w:instrText xml:space="preserve"> FORMTEXT </w:instrText>
      </w:r>
      <w:r>
        <w:fldChar w:fldCharType="separate"/>
      </w:r>
      <w:r>
        <w:t>CZLX</w:t>
      </w:r>
      <w:r>
        <w:fldChar w:fldCharType="end"/>
      </w:r>
      <w:bookmarkEnd w:id="3"/>
    </w:p>
    <w:p>
      <w:pPr>
        <w:pStyle w:val="113"/>
        <w:rPr>
          <w:rFonts w:ascii="Times New Roman" w:hAnsi="Times New Roman"/>
        </w:rPr>
      </w:pPr>
      <w:r>
        <w:fldChar w:fldCharType="begin">
          <w:ffData>
            <w:name w:val="c6"/>
            <w:enabled/>
            <w:calcOnExit w:val="0"/>
            <w:textInput/>
          </w:ffData>
        </w:fldChar>
      </w:r>
      <w:bookmarkStart w:id="4" w:name="c6"/>
      <w:r>
        <w:instrText xml:space="preserve"> FORMTEXT </w:instrText>
      </w:r>
      <w:r>
        <w:fldChar w:fldCharType="separate"/>
      </w:r>
      <w:r>
        <w:rPr>
          <w:rFonts w:hint="eastAsia"/>
        </w:rPr>
        <w:t>滁州市旅游行业协会</w:t>
      </w:r>
      <w:r>
        <w:fldChar w:fldCharType="end"/>
      </w:r>
      <w:bookmarkEnd w:id="4"/>
      <w:r>
        <w:rPr>
          <w:rFonts w:hint="eastAsia"/>
        </w:rPr>
        <w:t>团体标</w:t>
      </w:r>
      <w:r>
        <w:rPr>
          <w:rFonts w:hint="eastAsia" w:ascii="Times New Roman" w:hAnsi="Times New Roman"/>
        </w:rPr>
        <w:t>准</w:t>
      </w:r>
    </w:p>
    <w:p>
      <w:pPr>
        <w:pStyle w:val="56"/>
        <w:rPr>
          <w:rFonts w:hAnsi="黑体"/>
        </w:rPr>
      </w:pPr>
      <w:r>
        <w:rPr>
          <w:rFonts w:ascii="Times New Roman"/>
        </w:rPr>
        <w:t>T/</w:t>
      </w:r>
      <w:r>
        <w:rPr>
          <w:rFonts w:ascii="Times New Roman"/>
        </w:rPr>
        <w:fldChar w:fldCharType="begin">
          <w:ffData>
            <w:name w:val="StdNo0"/>
            <w:enabled/>
            <w:calcOnExit w:val="0"/>
            <w:textInput>
              <w:default w:val="XXX"/>
            </w:textInput>
          </w:ffData>
        </w:fldChar>
      </w:r>
      <w:bookmarkStart w:id="5" w:name="StdNo0"/>
      <w:r>
        <w:rPr>
          <w:rFonts w:ascii="Times New Roman"/>
        </w:rPr>
        <w:instrText xml:space="preserve"> FORMTEXT </w:instrText>
      </w:r>
      <w:r>
        <w:rPr>
          <w:rFonts w:ascii="Times New Roman"/>
        </w:rPr>
        <w:fldChar w:fldCharType="separate"/>
      </w:r>
      <w:r>
        <w:rPr>
          <w:rFonts w:ascii="Times New Roman"/>
        </w:rPr>
        <w:t>CZLX</w:t>
      </w:r>
      <w:r>
        <w:rPr>
          <w:rFonts w:ascii="Times New Roman"/>
        </w:rPr>
        <w:fldChar w:fldCharType="end"/>
      </w:r>
      <w:bookmarkEnd w:id="5"/>
      <w:r>
        <w:rPr>
          <w:rFonts w:hAnsi="黑体"/>
        </w:rPr>
        <w:t xml:space="preserve">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fldChar w:fldCharType="separate"/>
      </w:r>
      <w:r>
        <w:rPr>
          <w:rFonts w:hAnsi="黑体"/>
        </w:rPr>
        <w:t>1</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fldChar w:fldCharType="separate"/>
      </w:r>
      <w:r>
        <w:rPr>
          <w:rFonts w:hAnsi="黑体"/>
        </w:rPr>
        <w:t>2019</w:t>
      </w:r>
      <w:r>
        <w:rPr>
          <w:rFonts w:hAnsi="黑体"/>
        </w:rPr>
        <w:fldChar w:fldCharType="end"/>
      </w:r>
      <w:bookmarkEnd w:id="7"/>
    </w:p>
    <w:tbl>
      <w:tblPr>
        <w:tblStyle w:val="4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356" w:type="dxa"/>
            <w:tcBorders>
              <w:top w:val="nil"/>
              <w:left w:val="nil"/>
              <w:bottom w:val="nil"/>
              <w:right w:val="nil"/>
            </w:tcBorders>
            <w:shd w:val="clear" w:color="auto" w:fill="auto"/>
            <w:noWrap w:val="0"/>
            <w:vAlign w:val="top"/>
          </w:tcPr>
          <w:p>
            <w:pPr>
              <w:pStyle w:val="80"/>
            </w:pPr>
            <w:r>
              <w:pict>
                <v:rect id="DT" o:spid="_x0000_s1036" o:spt="1" style="position:absolute;left:0pt;margin-left:372.8pt;margin-top:2.7pt;height:18pt;width:90pt;z-index:-251656192;mso-width-relative:page;mso-height-relative:page;" stroked="f" coordsize="21600,21600">
                  <v:path/>
                  <v:fill focussize="0,0"/>
                  <v:stroke on="f"/>
                  <v:imagedata o:title=""/>
                  <o:lock v:ext="edit"/>
                </v:rect>
              </w:pict>
            </w:r>
            <w:r>
              <w:fldChar w:fldCharType="begin">
                <w:ffData>
                  <w:name w:val="DT"/>
                  <w:enabled/>
                  <w:calcOnExit w:val="0"/>
                  <w:textInput/>
                </w:ffData>
              </w:fldChar>
            </w:r>
            <w:bookmarkStart w:id="8" w:name="DT"/>
            <w:r>
              <w:instrText xml:space="preserve"> FORMTEXT </w:instrText>
            </w:r>
            <w:r>
              <w:fldChar w:fldCharType="separate"/>
            </w:r>
            <w:r>
              <w:t>     </w:t>
            </w:r>
            <w:r>
              <w:fldChar w:fldCharType="end"/>
            </w:r>
            <w:bookmarkEnd w:id="8"/>
          </w:p>
        </w:tc>
      </w:tr>
    </w:tbl>
    <w:p>
      <w:pPr>
        <w:pStyle w:val="56"/>
        <w:rPr>
          <w:rFonts w:hAnsi="黑体"/>
        </w:rPr>
      </w:pPr>
    </w:p>
    <w:p>
      <w:pPr>
        <w:pStyle w:val="56"/>
        <w:rPr>
          <w:rFonts w:hAnsi="黑体"/>
        </w:rPr>
      </w:pPr>
    </w:p>
    <w:p>
      <w:pPr>
        <w:pStyle w:val="82"/>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皖东农家乐标准要求及评分细则</w:t>
      </w:r>
      <w:r>
        <w:fldChar w:fldCharType="end"/>
      </w:r>
      <w:bookmarkEnd w:id="9"/>
    </w:p>
    <w:p>
      <w:pPr>
        <w:pStyle w:val="83"/>
      </w:pPr>
    </w:p>
    <w:p>
      <w:pPr>
        <w:pStyle w:val="84"/>
      </w:pPr>
    </w:p>
    <w:tbl>
      <w:tblPr>
        <w:tblStyle w:val="43"/>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85"/>
              <w:rPr>
                <w:rFonts w:hint="eastAsia"/>
              </w:rPr>
            </w:pPr>
            <w:r>
              <w:rPr>
                <w:rFonts w:hint="eastAsia"/>
              </w:rPr>
              <w:t>（征求意见稿）</w:t>
            </w:r>
            <w:r>
              <w:pict>
                <v:rect id="RQ" o:spid="_x0000_s1038" o:spt="1" style="position:absolute;left:0pt;margin-left:173.3pt;margin-top:45.15pt;height:20pt;width:150pt;z-index:-251654144;mso-width-relative:page;mso-height-relative:page;" stroked="f" coordsize="21600,21600">
                  <v:path/>
                  <v:fill focussize="0,0"/>
                  <v:stroke on="f"/>
                  <v:imagedata o:title=""/>
                  <o:lock v:ext="edit"/>
                  <w10:anchorlock/>
                </v:rect>
              </w:pict>
            </w:r>
            <w:r>
              <w:pict>
                <v:rect id="LB" o:spid="_x0000_s1037" o:spt="1" style="position:absolute;left:0pt;margin-left:193.3pt;margin-top:20.15pt;height:24pt;width:100pt;z-index:-251655168;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86"/>
            </w:pPr>
          </w:p>
        </w:tc>
      </w:tr>
    </w:tbl>
    <w:p>
      <w:pPr>
        <w:pStyle w:val="132"/>
      </w:pPr>
      <w:r>
        <w:rPr>
          <w:rFonts w:ascii="黑体"/>
        </w:rPr>
        <w:fldChar w:fldCharType="begin">
          <w:ffData>
            <w:name w:val="FY"/>
            <w:enabled/>
            <w:calcOnExit w:val="0"/>
            <w:textInput>
              <w:default w:val="XXXX"/>
              <w:maxLength w:val="4"/>
            </w:textInput>
          </w:ffData>
        </w:fldChar>
      </w:r>
      <w:bookmarkStart w:id="10" w:name="FY"/>
      <w:r>
        <w:rPr>
          <w:rFonts w:ascii="黑体"/>
        </w:rPr>
        <w:instrText xml:space="preserve"> FORMTEXT </w:instrText>
      </w:r>
      <w:r>
        <w:rPr>
          <w:rFonts w:ascii="黑体"/>
        </w:rPr>
        <w:fldChar w:fldCharType="separate"/>
      </w:r>
      <w:r>
        <w:rPr>
          <w:rFonts w:ascii="黑体"/>
        </w:rPr>
        <w:t>2019</w:t>
      </w:r>
      <w:r>
        <w:rPr>
          <w:rFonts w:ascii="黑体"/>
        </w:rPr>
        <w:fldChar w:fldCharType="end"/>
      </w:r>
      <w:bookmarkEnd w:id="10"/>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1"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r>
        <w:pict>
          <v:line id="_x0000_s1034" o:spid="_x0000_s1034" o:spt="20" style="position:absolute;left:0pt;margin-left:-0.05pt;margin-top:728.5pt;height:0pt;width:481.9pt;mso-position-vertical-relative:page;z-index:251658240;mso-width-relative:page;mso-height-relative:page;" coordsize="21600,21600">
            <v:path arrowok="t"/>
            <v:fill focussize="0,0"/>
            <v:stroke/>
            <v:imagedata o:title=""/>
            <o:lock v:ext="edit"/>
            <w10:anchorlock/>
          </v:line>
        </w:pict>
      </w:r>
    </w:p>
    <w:p>
      <w:pPr>
        <w:pStyle w:val="133"/>
      </w:pPr>
      <w:r>
        <w:rPr>
          <w:rFonts w:ascii="黑体"/>
        </w:rPr>
        <w:fldChar w:fldCharType="begin">
          <w:ffData>
            <w:name w:val="SY"/>
            <w:enabled/>
            <w:calcOnExit w:val="0"/>
            <w:textInput>
              <w:default w:val="XXXX"/>
              <w:maxLength w:val="4"/>
            </w:textInput>
          </w:ffData>
        </w:fldChar>
      </w:r>
      <w:bookmarkStart w:id="12" w:name="SY"/>
      <w:r>
        <w:rPr>
          <w:rFonts w:ascii="黑体"/>
        </w:rPr>
        <w:instrText xml:space="preserve"> FORMTEXT </w:instrText>
      </w:r>
      <w:r>
        <w:rPr>
          <w:rFonts w:ascii="黑体"/>
        </w:rPr>
        <w:fldChar w:fldCharType="separate"/>
      </w:r>
      <w:r>
        <w:rPr>
          <w:rFonts w:ascii="黑体"/>
        </w:rPr>
        <w:t>2019</w:t>
      </w:r>
      <w:r>
        <w:rPr>
          <w:rFonts w:ascii="黑体"/>
        </w:rPr>
        <w:fldChar w:fldCharType="end"/>
      </w:r>
      <w:bookmarkEnd w:id="12"/>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3"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4"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114"/>
      </w:pPr>
      <w:r>
        <w:fldChar w:fldCharType="begin">
          <w:ffData>
            <w:name w:val="fm"/>
            <w:enabled/>
            <w:calcOnExit w:val="0"/>
            <w:textInput/>
          </w:ffData>
        </w:fldChar>
      </w:r>
      <w:bookmarkStart w:id="15" w:name="fm"/>
      <w:r>
        <w:instrText xml:space="preserve"> FORMTEXT </w:instrText>
      </w:r>
      <w:r>
        <w:fldChar w:fldCharType="separate"/>
      </w:r>
      <w:r>
        <w:rPr>
          <w:rFonts w:hint="eastAsia"/>
        </w:rPr>
        <w:t>滁州市旅游行业协会</w:t>
      </w:r>
      <w:r>
        <w:fldChar w:fldCharType="end"/>
      </w:r>
      <w:bookmarkEnd w:id="15"/>
      <w:r>
        <w:rPr>
          <w:rFonts w:hAnsi="黑体"/>
        </w:rPr>
        <w:t>   </w:t>
      </w:r>
      <w:r>
        <w:rPr>
          <w:rStyle w:val="143"/>
          <w:rFonts w:hint="eastAsia"/>
        </w:rPr>
        <w:t>发布</w:t>
      </w:r>
    </w:p>
    <w:p>
      <w:pPr>
        <w:pStyle w:val="29"/>
        <w:sectPr>
          <w:headerReference r:id="rId5" w:type="first"/>
          <w:headerReference r:id="rId3" w:type="default"/>
          <w:headerReference r:id="rId4" w:type="even"/>
          <w:footerReference r:id="rId6" w:type="even"/>
          <w:pgSz w:w="11906" w:h="16838"/>
          <w:pgMar w:top="567" w:right="1134" w:bottom="1134" w:left="1417" w:header="0" w:footer="0" w:gutter="0"/>
          <w:pgNumType w:start="1"/>
          <w:cols w:space="425" w:num="1"/>
          <w:docGrid w:type="lines" w:linePitch="312" w:charSpace="0"/>
        </w:sectPr>
      </w:pPr>
      <w:r>
        <w:pict>
          <v:rect id="BAH" o:spid="_x0000_s1039" o:spt="1" style="position:absolute;left:0pt;margin-left:-5.25pt;margin-top:31.2pt;height:15.6pt;width:68.25pt;z-index:-251653120;mso-width-relative:page;mso-height-relative:page;" stroked="f" coordsize="21600,21600">
            <v:path/>
            <v:fill focussize="0,0"/>
            <v:stroke on="f"/>
            <v:imagedata o:title=""/>
            <o:lock v:ext="edit"/>
          </v:rect>
        </w:pict>
      </w:r>
      <w:r>
        <w:pict>
          <v:line id="_x0000_s1035" o:spid="_x0000_s1035" o:spt="20" style="position:absolute;left:0pt;margin-left:-0.05pt;margin-top:184.25pt;height:0pt;width:481.9pt;z-index:251659264;mso-width-relative:page;mso-height-relative:page;" coordsize="21600,21600">
            <v:path arrowok="t"/>
            <v:fill focussize="0,0"/>
            <v:stroke/>
            <v:imagedata o:title=""/>
            <o:lock v:ext="edit"/>
          </v:line>
        </w:pict>
      </w:r>
    </w:p>
    <w:p>
      <w:pPr>
        <w:pStyle w:val="115"/>
        <w:rPr>
          <w:rFonts w:hint="eastAsia"/>
        </w:rPr>
      </w:pPr>
      <w:r>
        <w:rPr>
          <w:rFonts w:hint="eastAsia"/>
        </w:rPr>
        <w:t>前</w:t>
      </w:r>
      <w:bookmarkStart w:id="16" w:name="BKQY"/>
      <w:r>
        <w:rPr>
          <w:rFonts w:hAnsi="黑体"/>
        </w:rPr>
        <w:t>  </w:t>
      </w:r>
      <w:r>
        <w:rPr>
          <w:rFonts w:hint="eastAsia"/>
        </w:rPr>
        <w:t>言</w:t>
      </w:r>
      <w:bookmarkEnd w:id="16"/>
    </w:p>
    <w:p>
      <w:pPr>
        <w:pStyle w:val="29"/>
        <w:rPr>
          <w:rFonts w:hint="eastAsia"/>
        </w:rPr>
      </w:pPr>
    </w:p>
    <w:p>
      <w:pPr>
        <w:pStyle w:val="29"/>
        <w:rPr>
          <w:rFonts w:hint="eastAsia"/>
        </w:rPr>
      </w:pPr>
      <w:r>
        <w:rPr>
          <w:rFonts w:hint="eastAsia"/>
        </w:rPr>
        <w:t>本标准按照 GB/T 1.1-2009 给出的规则起草。</w:t>
      </w:r>
    </w:p>
    <w:p>
      <w:pPr>
        <w:pStyle w:val="29"/>
        <w:rPr>
          <w:rFonts w:hint="eastAsia"/>
        </w:rPr>
      </w:pPr>
      <w:r>
        <w:rPr>
          <w:rFonts w:hint="eastAsia"/>
        </w:rPr>
        <w:t>本标准由滁州市文化和旅游局提出。</w:t>
      </w:r>
    </w:p>
    <w:p>
      <w:pPr>
        <w:pStyle w:val="29"/>
        <w:rPr>
          <w:rFonts w:hint="eastAsia"/>
        </w:rPr>
      </w:pPr>
      <w:r>
        <w:rPr>
          <w:rFonts w:hint="eastAsia"/>
        </w:rPr>
        <w:t>本标准由滁州市旅游行业协会归口。</w:t>
      </w:r>
    </w:p>
    <w:p>
      <w:pPr>
        <w:pStyle w:val="29"/>
        <w:rPr>
          <w:rFonts w:hint="eastAsia"/>
        </w:rPr>
      </w:pPr>
      <w:r>
        <w:rPr>
          <w:rFonts w:hint="eastAsia"/>
        </w:rPr>
        <w:t>本标准主要起草单位：滁州市旅游行业协会、安徽省质量和标准化研究院、滁州学院。</w:t>
      </w:r>
    </w:p>
    <w:p>
      <w:pPr>
        <w:pStyle w:val="29"/>
        <w:sectPr>
          <w:headerReference r:id="rId9" w:type="first"/>
          <w:headerReference r:id="rId7" w:type="default"/>
          <w:footerReference r:id="rId10" w:type="default"/>
          <w:headerReference r:id="rId8" w:type="even"/>
          <w:pgSz w:w="11906" w:h="16838"/>
          <w:pgMar w:top="567" w:right="1134" w:bottom="1134" w:left="1417" w:header="1418" w:footer="1134" w:gutter="0"/>
          <w:pgNumType w:fmt="upperRoman" w:start="1"/>
          <w:cols w:space="425" w:num="1"/>
          <w:formProt w:val="0"/>
          <w:docGrid w:type="lines" w:linePitch="312" w:charSpace="0"/>
        </w:sectPr>
      </w:pPr>
      <w:r>
        <w:rPr>
          <w:rFonts w:hint="eastAsia"/>
        </w:rPr>
        <w:t>本标准主要起草人：刘兴友、徐杰、凌俊杰、程鸣、王亚萍、晋秀龙。</w:t>
      </w:r>
    </w:p>
    <w:p>
      <w:pPr>
        <w:pStyle w:val="59"/>
        <w:rPr>
          <w:rFonts w:hint="eastAsia"/>
        </w:rPr>
      </w:pPr>
      <w:r>
        <w:rPr>
          <w:rFonts w:hint="eastAsia"/>
        </w:rPr>
        <w:t>皖</w:t>
      </w:r>
      <w:bookmarkStart w:id="17" w:name="StandardName"/>
      <w:r>
        <w:rPr>
          <w:rFonts w:hint="eastAsia"/>
        </w:rPr>
        <w:t>东农家乐标准要求及评分细则</w:t>
      </w:r>
      <w:bookmarkEnd w:id="17"/>
    </w:p>
    <w:p>
      <w:pPr>
        <w:pStyle w:val="45"/>
        <w:rPr>
          <w:rFonts w:hint="eastAsia"/>
        </w:rPr>
      </w:pPr>
      <w:r>
        <w:rPr>
          <w:rFonts w:hint="eastAsia"/>
        </w:rPr>
        <w:t>范围</w:t>
      </w:r>
    </w:p>
    <w:p>
      <w:pPr>
        <w:pStyle w:val="29"/>
        <w:rPr>
          <w:rFonts w:hint="eastAsia"/>
        </w:rPr>
      </w:pPr>
      <w:r>
        <w:rPr>
          <w:rFonts w:hint="eastAsia"/>
        </w:rPr>
        <w:t>本标准规定了皖东农家乐的术语和定义、必备条件、主题特色项目、综合加分项目、服务评价管理、文化主题、申报及管理、分值及评定、退出机制。</w:t>
      </w:r>
    </w:p>
    <w:p>
      <w:pPr>
        <w:pStyle w:val="29"/>
        <w:rPr>
          <w:rFonts w:hint="eastAsia"/>
        </w:rPr>
      </w:pPr>
      <w:r>
        <w:rPr>
          <w:rFonts w:hint="eastAsia"/>
        </w:rPr>
        <w:t>本标准适用于在滁州市行政区域内经营的农家乐。</w:t>
      </w:r>
    </w:p>
    <w:p>
      <w:pPr>
        <w:pStyle w:val="45"/>
        <w:rPr>
          <w:rFonts w:hint="eastAsia"/>
        </w:rPr>
      </w:pPr>
      <w:r>
        <w:rPr>
          <w:rFonts w:hint="eastAsia"/>
        </w:rPr>
        <w:t>规范性引用文件</w:t>
      </w:r>
    </w:p>
    <w:p>
      <w:pPr>
        <w:pStyle w:val="29"/>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29"/>
        <w:rPr>
          <w:rFonts w:hint="eastAsia"/>
        </w:rPr>
      </w:pPr>
      <w:r>
        <w:rPr>
          <w:rFonts w:hint="eastAsia"/>
        </w:rPr>
        <w:t>GB</w:t>
      </w:r>
      <w:r>
        <w:t xml:space="preserve"> </w:t>
      </w:r>
      <w:r>
        <w:rPr>
          <w:rFonts w:hint="eastAsia"/>
        </w:rPr>
        <w:t>5749</w:t>
      </w:r>
      <w:r>
        <w:t xml:space="preserve">  </w:t>
      </w:r>
      <w:r>
        <w:rPr>
          <w:rFonts w:hint="eastAsia"/>
        </w:rPr>
        <w:t>生活饮用水卫生标准</w:t>
      </w:r>
    </w:p>
    <w:p>
      <w:pPr>
        <w:pStyle w:val="29"/>
      </w:pPr>
      <w:r>
        <w:rPr>
          <w:rFonts w:hint="eastAsia"/>
        </w:rPr>
        <w:t>GB</w:t>
      </w:r>
      <w:r>
        <w:t xml:space="preserve"> </w:t>
      </w:r>
      <w:r>
        <w:rPr>
          <w:rFonts w:hint="eastAsia"/>
        </w:rPr>
        <w:t>8978</w:t>
      </w:r>
      <w:r>
        <w:t xml:space="preserve">  </w:t>
      </w:r>
      <w:r>
        <w:rPr>
          <w:rFonts w:hint="eastAsia"/>
        </w:rPr>
        <w:t>污水综合排放标准</w:t>
      </w:r>
    </w:p>
    <w:p>
      <w:pPr>
        <w:pStyle w:val="29"/>
      </w:pPr>
      <w:r>
        <w:t xml:space="preserve">GB 9663  </w:t>
      </w:r>
      <w:r>
        <w:rPr>
          <w:rFonts w:hint="eastAsia"/>
        </w:rPr>
        <w:t>旅店业卫生标准</w:t>
      </w:r>
    </w:p>
    <w:p>
      <w:pPr>
        <w:pStyle w:val="29"/>
      </w:pPr>
      <w:r>
        <w:t xml:space="preserve">GB 14881  </w:t>
      </w:r>
      <w:r>
        <w:rPr>
          <w:rFonts w:hint="eastAsia"/>
        </w:rPr>
        <w:t>食品安全国家标准 食品生产通用卫生规范</w:t>
      </w:r>
    </w:p>
    <w:p>
      <w:pPr>
        <w:pStyle w:val="29"/>
        <w:rPr>
          <w:rFonts w:hint="eastAsia"/>
        </w:rPr>
      </w:pPr>
      <w:r>
        <w:rPr>
          <w:rFonts w:hint="eastAsia"/>
        </w:rPr>
        <w:t>GB</w:t>
      </w:r>
      <w:r>
        <w:t xml:space="preserve"> </w:t>
      </w:r>
      <w:r>
        <w:rPr>
          <w:rFonts w:hint="eastAsia"/>
        </w:rPr>
        <w:t>14930.2</w:t>
      </w:r>
      <w:r>
        <w:t xml:space="preserve">  </w:t>
      </w:r>
      <w:r>
        <w:rPr>
          <w:rFonts w:hint="eastAsia"/>
        </w:rPr>
        <w:t>食品安全国家标准 消毒剂</w:t>
      </w:r>
    </w:p>
    <w:p>
      <w:pPr>
        <w:pStyle w:val="29"/>
        <w:rPr>
          <w:rFonts w:hint="eastAsia"/>
        </w:rPr>
      </w:pPr>
      <w:r>
        <w:rPr>
          <w:rFonts w:hint="eastAsia"/>
        </w:rPr>
        <w:t>GB</w:t>
      </w:r>
      <w:r>
        <w:t xml:space="preserve"> </w:t>
      </w:r>
      <w:r>
        <w:rPr>
          <w:rFonts w:hint="eastAsia"/>
        </w:rPr>
        <w:t>14934</w:t>
      </w:r>
      <w:r>
        <w:t xml:space="preserve">  </w:t>
      </w:r>
      <w:r>
        <w:rPr>
          <w:rFonts w:hint="eastAsia"/>
        </w:rPr>
        <w:t>食品安全国家标准 消毒餐（饮）具</w:t>
      </w:r>
    </w:p>
    <w:p>
      <w:pPr>
        <w:pStyle w:val="29"/>
        <w:rPr>
          <w:rFonts w:hint="eastAsia"/>
        </w:rPr>
      </w:pPr>
      <w:r>
        <w:rPr>
          <w:rFonts w:hint="eastAsia"/>
        </w:rPr>
        <w:t>GB</w:t>
      </w:r>
      <w:r>
        <w:t xml:space="preserve"> </w:t>
      </w:r>
      <w:r>
        <w:rPr>
          <w:rFonts w:hint="eastAsia"/>
        </w:rPr>
        <w:t>16153</w:t>
      </w:r>
      <w:r>
        <w:t xml:space="preserve">  </w:t>
      </w:r>
      <w:r>
        <w:rPr>
          <w:rFonts w:hint="eastAsia"/>
        </w:rPr>
        <w:t>饭馆（餐厅）卫生标准</w:t>
      </w:r>
    </w:p>
    <w:p>
      <w:pPr>
        <w:pStyle w:val="29"/>
        <w:rPr>
          <w:rFonts w:hint="eastAsia"/>
        </w:rPr>
      </w:pPr>
      <w:r>
        <w:t xml:space="preserve">GB/T 17217  </w:t>
      </w:r>
      <w:r>
        <w:rPr>
          <w:rFonts w:hint="eastAsia"/>
        </w:rPr>
        <w:t>城市公共厕所卫生标准</w:t>
      </w:r>
    </w:p>
    <w:p>
      <w:pPr>
        <w:pStyle w:val="29"/>
        <w:rPr>
          <w:rFonts w:hint="eastAsia"/>
        </w:rPr>
      </w:pPr>
      <w:r>
        <w:rPr>
          <w:rFonts w:hint="eastAsia"/>
        </w:rPr>
        <w:t>GA</w:t>
      </w:r>
      <w:r>
        <w:t xml:space="preserve"> </w:t>
      </w:r>
      <w:r>
        <w:rPr>
          <w:rFonts w:hint="eastAsia"/>
        </w:rPr>
        <w:t>654</w:t>
      </w:r>
      <w:r>
        <w:t xml:space="preserve">  </w:t>
      </w:r>
      <w:r>
        <w:rPr>
          <w:rFonts w:hint="eastAsia"/>
        </w:rPr>
        <w:t>人员密集场所消防安全管理</w:t>
      </w:r>
    </w:p>
    <w:p>
      <w:pPr>
        <w:pStyle w:val="45"/>
      </w:pPr>
      <w:r>
        <w:rPr>
          <w:rFonts w:hint="eastAsia"/>
        </w:rPr>
        <w:t>术语和定义</w:t>
      </w:r>
    </w:p>
    <w:p>
      <w:pPr>
        <w:pStyle w:val="29"/>
      </w:pPr>
      <w:r>
        <w:rPr>
          <w:rFonts w:hint="eastAsia"/>
        </w:rPr>
        <w:t>下列术语和定义适用于本文件。</w:t>
      </w:r>
    </w:p>
    <w:p>
      <w:pPr>
        <w:pStyle w:val="46"/>
      </w:pPr>
    </w:p>
    <w:p>
      <w:pPr>
        <w:pStyle w:val="46"/>
        <w:numPr>
          <w:ilvl w:val="0"/>
          <w:numId w:val="0"/>
        </w:numPr>
        <w:spacing w:before="0" w:beforeLines="0" w:after="0" w:afterLines="0"/>
        <w:ind w:firstLine="420" w:firstLineChars="200"/>
        <w:rPr>
          <w:rFonts w:hint="eastAsia"/>
        </w:rPr>
      </w:pPr>
      <w:r>
        <w:rPr>
          <w:rFonts w:hint="eastAsia"/>
        </w:rPr>
        <w:t>农家乐</w:t>
      </w:r>
    </w:p>
    <w:p>
      <w:pPr>
        <w:pStyle w:val="29"/>
        <w:rPr>
          <w:rFonts w:hint="eastAsia"/>
        </w:rPr>
      </w:pPr>
      <w:r>
        <w:rPr>
          <w:rFonts w:hint="eastAsia"/>
        </w:rPr>
        <w:t>利用农村庭院、农林牧渔、田园景观和自然生态、乡村文化资源，为游客提供以农业、农村和农家乐体验为特色的观光、娱乐、劳作、修学、住宿、餐饮、购物等服务的经营实体。</w:t>
      </w:r>
    </w:p>
    <w:p>
      <w:pPr>
        <w:pStyle w:val="46"/>
      </w:pPr>
    </w:p>
    <w:p>
      <w:pPr>
        <w:pStyle w:val="46"/>
        <w:numPr>
          <w:ilvl w:val="0"/>
          <w:numId w:val="0"/>
        </w:numPr>
        <w:spacing w:before="0" w:beforeLines="0" w:after="0" w:afterLines="0"/>
        <w:ind w:firstLine="420" w:firstLineChars="200"/>
        <w:rPr>
          <w:rFonts w:hint="eastAsia"/>
        </w:rPr>
      </w:pPr>
      <w:r>
        <w:rPr>
          <w:rFonts w:hint="eastAsia"/>
        </w:rPr>
        <w:t>皖东农家乐</w:t>
      </w:r>
    </w:p>
    <w:p>
      <w:pPr>
        <w:pStyle w:val="29"/>
        <w:rPr>
          <w:rFonts w:hint="eastAsia"/>
        </w:rPr>
      </w:pPr>
      <w:r>
        <w:rPr>
          <w:rFonts w:hint="eastAsia"/>
        </w:rPr>
        <w:t>以皖东地域特色文化为依托，利用蕴含皖东地域特色主题的农村庭院、农林牧渔、田园景观等资源，为游客提供突显皖东特色的，以农业、农村和农家乐体验为特色的观光、娱乐、劳作、修学、住宿、餐饮、购物等服务的农家乐。</w:t>
      </w:r>
    </w:p>
    <w:p>
      <w:pPr>
        <w:pStyle w:val="45"/>
        <w:rPr>
          <w:rFonts w:hint="eastAsia"/>
        </w:rPr>
      </w:pPr>
      <w:r>
        <w:rPr>
          <w:rFonts w:hint="eastAsia"/>
        </w:rPr>
        <w:t>必备条件</w:t>
      </w:r>
    </w:p>
    <w:p>
      <w:pPr>
        <w:pStyle w:val="46"/>
        <w:rPr>
          <w:rFonts w:hint="eastAsia"/>
        </w:rPr>
      </w:pPr>
      <w:r>
        <w:rPr>
          <w:rFonts w:hint="eastAsia"/>
        </w:rPr>
        <w:t>经营要求</w:t>
      </w:r>
    </w:p>
    <w:p>
      <w:pPr>
        <w:pStyle w:val="47"/>
        <w:rPr>
          <w:rFonts w:hint="eastAsia"/>
        </w:rPr>
      </w:pPr>
      <w:r>
        <w:rPr>
          <w:rFonts w:hint="eastAsia"/>
        </w:rPr>
        <w:t>所在乡镇（街道）无高发地方病，3</w:t>
      </w:r>
      <w:r>
        <w:t xml:space="preserve"> </w:t>
      </w:r>
      <w:r>
        <w:rPr>
          <w:rFonts w:hint="eastAsia"/>
        </w:rPr>
        <w:t>年内无重大疫情。</w:t>
      </w:r>
    </w:p>
    <w:p>
      <w:pPr>
        <w:pStyle w:val="47"/>
        <w:rPr>
          <w:rFonts w:hint="eastAsia"/>
        </w:rPr>
      </w:pPr>
      <w:r>
        <w:rPr>
          <w:rFonts w:hint="eastAsia"/>
        </w:rPr>
        <w:t>经营应依法取得当地政府要求的相关证照，达到正常营业要求。</w:t>
      </w:r>
    </w:p>
    <w:p>
      <w:pPr>
        <w:pStyle w:val="47"/>
        <w:rPr>
          <w:rFonts w:hint="eastAsia"/>
        </w:rPr>
      </w:pPr>
      <w:r>
        <w:rPr>
          <w:rFonts w:hint="eastAsia"/>
        </w:rPr>
        <w:t>正常经营1年以上。</w:t>
      </w:r>
    </w:p>
    <w:p>
      <w:pPr>
        <w:pStyle w:val="47"/>
        <w:rPr>
          <w:rFonts w:hint="eastAsia"/>
        </w:rPr>
      </w:pPr>
      <w:r>
        <w:rPr>
          <w:rFonts w:hint="eastAsia"/>
        </w:rPr>
        <w:t>生活用水（包括自备水源和二次供水）应符合 GB</w:t>
      </w:r>
      <w:r>
        <w:t xml:space="preserve"> </w:t>
      </w:r>
      <w:r>
        <w:rPr>
          <w:rFonts w:hint="eastAsia"/>
        </w:rPr>
        <w:t>5749 要求。</w:t>
      </w:r>
    </w:p>
    <w:p>
      <w:pPr>
        <w:pStyle w:val="47"/>
        <w:rPr>
          <w:rFonts w:hint="eastAsia"/>
        </w:rPr>
      </w:pPr>
      <w:r>
        <w:rPr>
          <w:rFonts w:hint="eastAsia"/>
        </w:rPr>
        <w:t>食品来源、加工、销售应符合 GB</w:t>
      </w:r>
      <w:r>
        <w:t xml:space="preserve"> </w:t>
      </w:r>
      <w:r>
        <w:rPr>
          <w:rFonts w:hint="eastAsia"/>
        </w:rPr>
        <w:t>14881 要求。</w:t>
      </w:r>
    </w:p>
    <w:p>
      <w:pPr>
        <w:pStyle w:val="47"/>
        <w:rPr>
          <w:rFonts w:hint="eastAsia"/>
        </w:rPr>
      </w:pPr>
      <w:r>
        <w:rPr>
          <w:rFonts w:hint="eastAsia"/>
        </w:rPr>
        <w:t>卫生条件应符合 GB</w:t>
      </w:r>
      <w:r>
        <w:t xml:space="preserve"> 1</w:t>
      </w:r>
      <w:r>
        <w:rPr>
          <w:rFonts w:hint="eastAsia"/>
        </w:rPr>
        <w:t>6153、GB</w:t>
      </w:r>
      <w:r>
        <w:t xml:space="preserve"> </w:t>
      </w:r>
      <w:r>
        <w:rPr>
          <w:rFonts w:hint="eastAsia"/>
        </w:rPr>
        <w:t>14934、GB</w:t>
      </w:r>
      <w:r>
        <w:t xml:space="preserve"> </w:t>
      </w:r>
      <w:r>
        <w:rPr>
          <w:rFonts w:hint="eastAsia"/>
        </w:rPr>
        <w:t>9663、GB/T</w:t>
      </w:r>
      <w:r>
        <w:t xml:space="preserve"> </w:t>
      </w:r>
      <w:r>
        <w:rPr>
          <w:rFonts w:hint="eastAsia"/>
        </w:rPr>
        <w:t>17217 要求。</w:t>
      </w:r>
    </w:p>
    <w:p>
      <w:pPr>
        <w:pStyle w:val="47"/>
        <w:rPr>
          <w:rFonts w:hint="eastAsia"/>
        </w:rPr>
      </w:pPr>
      <w:r>
        <w:rPr>
          <w:rFonts w:hint="eastAsia"/>
        </w:rPr>
        <w:t>服务人员每年至少进行 1</w:t>
      </w:r>
      <w:r>
        <w:t xml:space="preserve"> </w:t>
      </w:r>
      <w:r>
        <w:rPr>
          <w:rFonts w:hint="eastAsia"/>
        </w:rPr>
        <w:t>次健康检查，必要时接受临时检查，上岗时应具有县级以上医疗或疾病预防控制机构出具的健康证明。</w:t>
      </w:r>
    </w:p>
    <w:p>
      <w:pPr>
        <w:pStyle w:val="47"/>
        <w:rPr>
          <w:rFonts w:hint="eastAsia"/>
        </w:rPr>
      </w:pPr>
      <w:r>
        <w:rPr>
          <w:rFonts w:hint="eastAsia"/>
        </w:rPr>
        <w:t>应公布文旅、市场监督、公安、卫健等部门及急救机构的投诉或者救助电话。</w:t>
      </w:r>
    </w:p>
    <w:p>
      <w:pPr>
        <w:pStyle w:val="46"/>
        <w:rPr>
          <w:rFonts w:hint="eastAsia"/>
        </w:rPr>
      </w:pPr>
      <w:r>
        <w:rPr>
          <w:rFonts w:hint="eastAsia"/>
        </w:rPr>
        <w:t>场地要求</w:t>
      </w:r>
    </w:p>
    <w:p>
      <w:pPr>
        <w:pStyle w:val="47"/>
        <w:rPr>
          <w:rFonts w:hint="eastAsia"/>
        </w:rPr>
      </w:pPr>
      <w:r>
        <w:rPr>
          <w:rFonts w:hint="eastAsia"/>
        </w:rPr>
        <w:t>周边生态环境良好，具有浓郁的乡村风情和民俗特点。</w:t>
      </w:r>
    </w:p>
    <w:p>
      <w:pPr>
        <w:pStyle w:val="47"/>
        <w:rPr>
          <w:rFonts w:hint="eastAsia"/>
        </w:rPr>
      </w:pPr>
      <w:r>
        <w:rPr>
          <w:rFonts w:hint="eastAsia"/>
        </w:rPr>
        <w:t>建筑布局合理，配置得当。</w:t>
      </w:r>
    </w:p>
    <w:p>
      <w:pPr>
        <w:pStyle w:val="47"/>
        <w:rPr>
          <w:rFonts w:hint="eastAsia"/>
        </w:rPr>
      </w:pPr>
      <w:r>
        <w:rPr>
          <w:rFonts w:hint="eastAsia"/>
        </w:rPr>
        <w:t>庭院内卫生整洁，无乱建、乱堆、乱放现象。</w:t>
      </w:r>
    </w:p>
    <w:p>
      <w:pPr>
        <w:pStyle w:val="47"/>
        <w:rPr>
          <w:rFonts w:hint="eastAsia"/>
        </w:rPr>
      </w:pPr>
      <w:r>
        <w:rPr>
          <w:rFonts w:hint="eastAsia"/>
        </w:rPr>
        <w:t>庭院、小径、服务区域等硬化、绿化合理。</w:t>
      </w:r>
    </w:p>
    <w:p>
      <w:pPr>
        <w:pStyle w:val="47"/>
        <w:rPr>
          <w:rFonts w:hint="eastAsia"/>
        </w:rPr>
      </w:pPr>
      <w:r>
        <w:rPr>
          <w:rFonts w:hint="eastAsia"/>
        </w:rPr>
        <w:t>有导览图、标识牌，且位置合理，内容清晰。</w:t>
      </w:r>
    </w:p>
    <w:p>
      <w:pPr>
        <w:pStyle w:val="47"/>
        <w:rPr>
          <w:rFonts w:hint="eastAsia"/>
        </w:rPr>
      </w:pPr>
      <w:r>
        <w:rPr>
          <w:rFonts w:hint="eastAsia"/>
        </w:rPr>
        <w:t>距离污水池、垃圾场（站）、旱厕、禽畜饲养场所等污染源 500 m</w:t>
      </w:r>
      <w:r>
        <w:t xml:space="preserve"> </w:t>
      </w:r>
      <w:r>
        <w:rPr>
          <w:rFonts w:hint="eastAsia"/>
        </w:rPr>
        <w:t>以上。</w:t>
      </w:r>
    </w:p>
    <w:p>
      <w:pPr>
        <w:pStyle w:val="47"/>
        <w:rPr>
          <w:rFonts w:hint="eastAsia"/>
        </w:rPr>
      </w:pPr>
      <w:r>
        <w:rPr>
          <w:rFonts w:hint="eastAsia"/>
        </w:rPr>
        <w:t>占地面积不少于 8000</w:t>
      </w:r>
      <w:r>
        <w:t xml:space="preserve"> </w:t>
      </w:r>
      <w:r>
        <w:rPr>
          <w:rFonts w:hint="eastAsia"/>
        </w:rPr>
        <w:t>㎡，用于接待的建筑面积不少于 1500 ㎡，接待区域地面全部进行了硬化绿化处理。</w:t>
      </w:r>
    </w:p>
    <w:p>
      <w:pPr>
        <w:pStyle w:val="47"/>
        <w:rPr>
          <w:rFonts w:hint="eastAsia"/>
        </w:rPr>
      </w:pPr>
      <w:r>
        <w:rPr>
          <w:rFonts w:hint="eastAsia"/>
        </w:rPr>
        <w:t>生态停车场 1</w:t>
      </w:r>
      <w:r>
        <w:t xml:space="preserve"> </w:t>
      </w:r>
      <w:r>
        <w:rPr>
          <w:rFonts w:hint="eastAsia"/>
        </w:rPr>
        <w:t>处，小车位不少于 20</w:t>
      </w:r>
      <w:r>
        <w:t xml:space="preserve"> </w:t>
      </w:r>
      <w:r>
        <w:rPr>
          <w:rFonts w:hint="eastAsia"/>
        </w:rPr>
        <w:t>个，大巴车位不少于 5</w:t>
      </w:r>
      <w:r>
        <w:t xml:space="preserve"> </w:t>
      </w:r>
      <w:r>
        <w:rPr>
          <w:rFonts w:hint="eastAsia"/>
        </w:rPr>
        <w:t>个。</w:t>
      </w:r>
    </w:p>
    <w:p>
      <w:pPr>
        <w:pStyle w:val="46"/>
        <w:rPr>
          <w:rFonts w:hint="eastAsia"/>
        </w:rPr>
      </w:pPr>
      <w:r>
        <w:rPr>
          <w:rFonts w:hint="eastAsia"/>
        </w:rPr>
        <w:t>安全要求</w:t>
      </w:r>
    </w:p>
    <w:p>
      <w:pPr>
        <w:pStyle w:val="47"/>
        <w:rPr>
          <w:rFonts w:hint="eastAsia"/>
        </w:rPr>
      </w:pPr>
      <w:r>
        <w:rPr>
          <w:rFonts w:hint="eastAsia"/>
        </w:rPr>
        <w:t>房屋地址应远离污染源和地震断裂带、地下采空区、山区及丘陵区的滑坡段、悬崖边及崖底、泥石流和洪水沟口、水坝泄洪区等自然灾害易发地段。</w:t>
      </w:r>
    </w:p>
    <w:p>
      <w:pPr>
        <w:pStyle w:val="47"/>
        <w:rPr>
          <w:rFonts w:hint="eastAsia"/>
        </w:rPr>
      </w:pPr>
      <w:r>
        <w:rPr>
          <w:rFonts w:hint="eastAsia"/>
        </w:rPr>
        <w:t>房屋上空不得有架空的高压输电线路穿越，不得与生产和储存易燃、易爆、易辐射等物品的建筑物毗邻。</w:t>
      </w:r>
    </w:p>
    <w:p>
      <w:pPr>
        <w:pStyle w:val="47"/>
        <w:rPr>
          <w:rFonts w:hint="eastAsia"/>
        </w:rPr>
      </w:pPr>
      <w:r>
        <w:rPr>
          <w:rFonts w:hint="eastAsia"/>
        </w:rPr>
        <w:t>房屋建筑坚固、安全，并有效避免有害动物的侵入和栖息。</w:t>
      </w:r>
    </w:p>
    <w:p>
      <w:pPr>
        <w:pStyle w:val="47"/>
        <w:rPr>
          <w:rFonts w:hint="eastAsia"/>
        </w:rPr>
      </w:pPr>
      <w:r>
        <w:rPr>
          <w:rFonts w:hint="eastAsia"/>
        </w:rPr>
        <w:t>各类场所门锁等安全装置，供电系统的安全保护装置，防盗、救护、应急照明等设备，热水、电气、烹饪等设备完好有效。</w:t>
      </w:r>
    </w:p>
    <w:p>
      <w:pPr>
        <w:pStyle w:val="47"/>
        <w:rPr>
          <w:rFonts w:hint="eastAsia"/>
        </w:rPr>
      </w:pPr>
      <w:r>
        <w:rPr>
          <w:rFonts w:hint="eastAsia"/>
        </w:rPr>
        <w:t>标明清晰的逃生路线图，安全通道畅通。</w:t>
      </w:r>
    </w:p>
    <w:p>
      <w:pPr>
        <w:pStyle w:val="47"/>
        <w:rPr>
          <w:rFonts w:hint="eastAsia"/>
        </w:rPr>
      </w:pPr>
      <w:r>
        <w:rPr>
          <w:rFonts w:hint="eastAsia"/>
        </w:rPr>
        <w:t>安全管理制度健全，制定并落实游客安全事故以及突发事件应急预案。</w:t>
      </w:r>
    </w:p>
    <w:p>
      <w:pPr>
        <w:pStyle w:val="47"/>
        <w:rPr>
          <w:rFonts w:hint="eastAsia"/>
        </w:rPr>
      </w:pPr>
      <w:r>
        <w:rPr>
          <w:rFonts w:hint="eastAsia"/>
        </w:rPr>
        <w:t>夜间留宿游客的须有值班人员（特指提供住宿服务的农家乐）。</w:t>
      </w:r>
    </w:p>
    <w:p>
      <w:pPr>
        <w:pStyle w:val="46"/>
        <w:rPr>
          <w:rFonts w:hint="eastAsia"/>
        </w:rPr>
      </w:pPr>
      <w:r>
        <w:rPr>
          <w:rFonts w:hint="eastAsia"/>
        </w:rPr>
        <w:t>消防要求</w:t>
      </w:r>
    </w:p>
    <w:p>
      <w:pPr>
        <w:pStyle w:val="47"/>
        <w:rPr>
          <w:rFonts w:hint="eastAsia"/>
        </w:rPr>
      </w:pPr>
      <w:r>
        <w:rPr>
          <w:rFonts w:hint="eastAsia"/>
        </w:rPr>
        <w:t>公众聚集场所消防安全应符合 GA 654</w:t>
      </w:r>
      <w:r>
        <w:t xml:space="preserve"> </w:t>
      </w:r>
      <w:r>
        <w:rPr>
          <w:rFonts w:hint="eastAsia"/>
        </w:rPr>
        <w:t>的要求。</w:t>
      </w:r>
    </w:p>
    <w:p>
      <w:pPr>
        <w:pStyle w:val="47"/>
        <w:rPr>
          <w:rFonts w:hint="eastAsia"/>
        </w:rPr>
      </w:pPr>
      <w:r>
        <w:rPr>
          <w:rFonts w:hint="eastAsia"/>
        </w:rPr>
        <w:t>室内装修、装饰采用不燃、难燃防火材料。</w:t>
      </w:r>
    </w:p>
    <w:p>
      <w:pPr>
        <w:pStyle w:val="47"/>
        <w:rPr>
          <w:rFonts w:hint="eastAsia"/>
        </w:rPr>
      </w:pPr>
      <w:r>
        <w:rPr>
          <w:rFonts w:hint="eastAsia"/>
        </w:rPr>
        <w:t>醒目放置消防器材，并定期检验、维修，保持完好有效。</w:t>
      </w:r>
    </w:p>
    <w:p>
      <w:pPr>
        <w:pStyle w:val="47"/>
        <w:rPr>
          <w:rFonts w:hint="eastAsia"/>
        </w:rPr>
      </w:pPr>
      <w:r>
        <w:rPr>
          <w:rFonts w:hint="eastAsia"/>
        </w:rPr>
        <w:t>易燃、易爆、易辐射等物品的储存和管理符合安全规定。</w:t>
      </w:r>
    </w:p>
    <w:p>
      <w:pPr>
        <w:pStyle w:val="47"/>
        <w:rPr>
          <w:rFonts w:hint="eastAsia"/>
        </w:rPr>
      </w:pPr>
      <w:r>
        <w:rPr>
          <w:rFonts w:hint="eastAsia"/>
        </w:rPr>
        <w:t>炉火、烟道等取暖设备与可燃物之间采取有效的防火、隔热措施。</w:t>
      </w:r>
    </w:p>
    <w:p>
      <w:pPr>
        <w:pStyle w:val="47"/>
        <w:rPr>
          <w:rFonts w:hint="eastAsia"/>
        </w:rPr>
      </w:pPr>
      <w:r>
        <w:rPr>
          <w:rFonts w:hint="eastAsia"/>
        </w:rPr>
        <w:t>经常检查、检测和保养厨房燃油、燃气管道、烟道等设施。</w:t>
      </w:r>
    </w:p>
    <w:p>
      <w:pPr>
        <w:pStyle w:val="46"/>
        <w:rPr>
          <w:rFonts w:hint="eastAsia"/>
        </w:rPr>
      </w:pPr>
      <w:r>
        <w:rPr>
          <w:rFonts w:hint="eastAsia"/>
        </w:rPr>
        <w:t>环保要求</w:t>
      </w:r>
    </w:p>
    <w:p>
      <w:pPr>
        <w:pStyle w:val="47"/>
        <w:rPr>
          <w:rFonts w:hint="eastAsia"/>
        </w:rPr>
      </w:pPr>
      <w:r>
        <w:rPr>
          <w:rFonts w:hint="eastAsia"/>
        </w:rPr>
        <w:t>污水排放应符合 GB 8978</w:t>
      </w:r>
      <w:r>
        <w:t xml:space="preserve"> </w:t>
      </w:r>
      <w:r>
        <w:rPr>
          <w:rFonts w:hint="eastAsia"/>
        </w:rPr>
        <w:t>的要求。</w:t>
      </w:r>
    </w:p>
    <w:p>
      <w:pPr>
        <w:pStyle w:val="47"/>
        <w:rPr>
          <w:rFonts w:hint="eastAsia"/>
        </w:rPr>
      </w:pPr>
      <w:r>
        <w:rPr>
          <w:rFonts w:hint="eastAsia"/>
        </w:rPr>
        <w:t>无随意丢弃、堆放、焚烧垃圾和其他污染物现象；垃圾按照国家标准进行四种分类。</w:t>
      </w:r>
    </w:p>
    <w:p>
      <w:pPr>
        <w:pStyle w:val="47"/>
        <w:rPr>
          <w:rFonts w:hint="eastAsia"/>
        </w:rPr>
      </w:pPr>
      <w:r>
        <w:rPr>
          <w:rFonts w:hint="eastAsia"/>
        </w:rPr>
        <w:t>小规模禽畜散养应实现人畜分离。</w:t>
      </w:r>
    </w:p>
    <w:p>
      <w:pPr>
        <w:pStyle w:val="47"/>
        <w:rPr>
          <w:rFonts w:hint="eastAsia"/>
        </w:rPr>
      </w:pPr>
      <w:r>
        <w:rPr>
          <w:rFonts w:hint="eastAsia"/>
        </w:rPr>
        <w:t>无污染环境和破坏自然资源的现象。</w:t>
      </w:r>
    </w:p>
    <w:p>
      <w:pPr>
        <w:pStyle w:val="46"/>
        <w:rPr>
          <w:rFonts w:hint="eastAsia"/>
        </w:rPr>
      </w:pPr>
      <w:r>
        <w:rPr>
          <w:rFonts w:hint="eastAsia"/>
        </w:rPr>
        <w:t>卫生要求</w:t>
      </w:r>
    </w:p>
    <w:p>
      <w:pPr>
        <w:pStyle w:val="47"/>
        <w:rPr>
          <w:rFonts w:hint="eastAsia"/>
        </w:rPr>
      </w:pPr>
      <w:r>
        <w:rPr>
          <w:rFonts w:hint="eastAsia"/>
        </w:rPr>
        <w:t>洗涤剂、消毒剂应符合 GB</w:t>
      </w:r>
      <w:r>
        <w:t xml:space="preserve"> </w:t>
      </w:r>
      <w:r>
        <w:rPr>
          <w:rFonts w:hint="eastAsia"/>
        </w:rPr>
        <w:t>14930.2</w:t>
      </w:r>
      <w:r>
        <w:t xml:space="preserve"> </w:t>
      </w:r>
      <w:r>
        <w:rPr>
          <w:rFonts w:hint="eastAsia"/>
        </w:rPr>
        <w:t>的要求。</w:t>
      </w:r>
    </w:p>
    <w:p>
      <w:pPr>
        <w:pStyle w:val="47"/>
        <w:rPr>
          <w:rFonts w:hint="eastAsia"/>
        </w:rPr>
      </w:pPr>
      <w:r>
        <w:rPr>
          <w:rFonts w:hint="eastAsia"/>
        </w:rPr>
        <w:t>食品卫生符合国家规定，餐饮场所的卫生条件应达到 GB</w:t>
      </w:r>
      <w:r>
        <w:t xml:space="preserve"> </w:t>
      </w:r>
      <w:r>
        <w:rPr>
          <w:rFonts w:hint="eastAsia"/>
        </w:rPr>
        <w:t>16153</w:t>
      </w:r>
      <w:r>
        <w:t xml:space="preserve"> </w:t>
      </w:r>
      <w:r>
        <w:rPr>
          <w:rFonts w:hint="eastAsia"/>
        </w:rPr>
        <w:t>规定的要求，餐饮服务配备消毒设施，不使用对环境造成污染的一次性餐具。</w:t>
      </w:r>
    </w:p>
    <w:p>
      <w:pPr>
        <w:pStyle w:val="47"/>
        <w:rPr>
          <w:rFonts w:hint="eastAsia"/>
        </w:rPr>
      </w:pPr>
      <w:r>
        <w:rPr>
          <w:rFonts w:hint="eastAsia"/>
        </w:rPr>
        <w:t>制定卫生制度和措施，定期进行卫生自查。</w:t>
      </w:r>
    </w:p>
    <w:p>
      <w:pPr>
        <w:pStyle w:val="47"/>
        <w:rPr>
          <w:rFonts w:hint="eastAsia"/>
        </w:rPr>
      </w:pPr>
      <w:r>
        <w:rPr>
          <w:rFonts w:hint="eastAsia"/>
        </w:rPr>
        <w:t>地面、墙壁、天花板、门窗、排水沟保持清洁和良好状况。</w:t>
      </w:r>
    </w:p>
    <w:p>
      <w:pPr>
        <w:pStyle w:val="47"/>
        <w:rPr>
          <w:rFonts w:hint="eastAsia"/>
        </w:rPr>
      </w:pPr>
      <w:r>
        <w:rPr>
          <w:rFonts w:hint="eastAsia"/>
        </w:rPr>
        <w:t>每天至少清除垃圾 1</w:t>
      </w:r>
      <w:r>
        <w:t xml:space="preserve"> </w:t>
      </w:r>
      <w:r>
        <w:rPr>
          <w:rFonts w:hint="eastAsia"/>
        </w:rPr>
        <w:t>次，及时清洗盛放垃圾的容器，并适时进行消毒。</w:t>
      </w:r>
    </w:p>
    <w:p>
      <w:pPr>
        <w:pStyle w:val="47"/>
        <w:rPr>
          <w:rFonts w:hint="eastAsia"/>
        </w:rPr>
      </w:pPr>
      <w:r>
        <w:rPr>
          <w:rFonts w:hint="eastAsia"/>
        </w:rPr>
        <w:t>员工定期更换衣帽，接触直接入口食品人员的工作衣帽每天更换并佩戴口罩。</w:t>
      </w:r>
    </w:p>
    <w:p>
      <w:pPr>
        <w:pStyle w:val="47"/>
        <w:rPr>
          <w:rFonts w:hint="eastAsia"/>
        </w:rPr>
      </w:pPr>
      <w:r>
        <w:rPr>
          <w:rFonts w:hint="eastAsia"/>
        </w:rPr>
        <w:t>定期除虫灭害，除虫灭害时对食品以及原料采取必要的保护措施。</w:t>
      </w:r>
    </w:p>
    <w:p>
      <w:pPr>
        <w:pStyle w:val="46"/>
        <w:rPr>
          <w:rFonts w:hint="eastAsia"/>
        </w:rPr>
      </w:pPr>
      <w:r>
        <w:rPr>
          <w:rFonts w:hint="eastAsia"/>
        </w:rPr>
        <w:t>餐厅要求</w:t>
      </w:r>
    </w:p>
    <w:p>
      <w:pPr>
        <w:pStyle w:val="47"/>
        <w:rPr>
          <w:rFonts w:hint="eastAsia"/>
        </w:rPr>
      </w:pPr>
      <w:r>
        <w:rPr>
          <w:rFonts w:hint="eastAsia"/>
        </w:rPr>
        <w:t>环境整洁干净，采光、通风、照明良好。</w:t>
      </w:r>
    </w:p>
    <w:p>
      <w:pPr>
        <w:pStyle w:val="47"/>
        <w:rPr>
          <w:rFonts w:hint="eastAsia"/>
        </w:rPr>
      </w:pPr>
      <w:r>
        <w:rPr>
          <w:rFonts w:hint="eastAsia"/>
        </w:rPr>
        <w:t>地面经防滑处理，保持清洁、干燥、畅通。</w:t>
      </w:r>
    </w:p>
    <w:p>
      <w:pPr>
        <w:pStyle w:val="47"/>
        <w:rPr>
          <w:rFonts w:hint="eastAsia"/>
        </w:rPr>
      </w:pPr>
      <w:r>
        <w:rPr>
          <w:rFonts w:hint="eastAsia"/>
        </w:rPr>
        <w:t>餐厅内桌、椅、台等应保持清洁、完好，无破损。</w:t>
      </w:r>
    </w:p>
    <w:p>
      <w:pPr>
        <w:pStyle w:val="47"/>
        <w:rPr>
          <w:rFonts w:hint="eastAsia"/>
        </w:rPr>
      </w:pPr>
      <w:r>
        <w:rPr>
          <w:rFonts w:hint="eastAsia"/>
        </w:rPr>
        <w:t>有消毒、消灭蚊蝇等虫害的设备、工具。</w:t>
      </w:r>
    </w:p>
    <w:p>
      <w:pPr>
        <w:pStyle w:val="47"/>
        <w:rPr>
          <w:rFonts w:hint="eastAsia"/>
        </w:rPr>
      </w:pPr>
      <w:r>
        <w:rPr>
          <w:rFonts w:hint="eastAsia"/>
        </w:rPr>
        <w:t>一次性用餐应不少于 100</w:t>
      </w:r>
      <w:r>
        <w:t xml:space="preserve"> </w:t>
      </w:r>
      <w:r>
        <w:rPr>
          <w:rFonts w:hint="eastAsia"/>
        </w:rPr>
        <w:t>餐位。</w:t>
      </w:r>
    </w:p>
    <w:p>
      <w:pPr>
        <w:pStyle w:val="47"/>
        <w:rPr>
          <w:rFonts w:hint="eastAsia"/>
        </w:rPr>
      </w:pPr>
      <w:r>
        <w:rPr>
          <w:rFonts w:hint="eastAsia"/>
        </w:rPr>
        <w:t>餐具、酒具、茶具等器皿，无破损、油污、有消毒处理。</w:t>
      </w:r>
    </w:p>
    <w:p>
      <w:pPr>
        <w:pStyle w:val="47"/>
        <w:rPr>
          <w:rFonts w:hint="eastAsia"/>
        </w:rPr>
      </w:pPr>
      <w:r>
        <w:rPr>
          <w:rFonts w:hint="eastAsia"/>
        </w:rPr>
        <w:t>能提供具有皖东地方特色的风味菜肴、品种丰富，有明码标价的菜谱。</w:t>
      </w:r>
    </w:p>
    <w:p>
      <w:pPr>
        <w:pStyle w:val="46"/>
        <w:rPr>
          <w:rFonts w:hint="eastAsia"/>
        </w:rPr>
      </w:pPr>
      <w:r>
        <w:rPr>
          <w:rFonts w:hint="eastAsia"/>
        </w:rPr>
        <w:t>食品要求</w:t>
      </w:r>
    </w:p>
    <w:p>
      <w:pPr>
        <w:pStyle w:val="47"/>
        <w:rPr>
          <w:rFonts w:hint="eastAsia"/>
        </w:rPr>
      </w:pPr>
      <w:r>
        <w:rPr>
          <w:rFonts w:hint="eastAsia"/>
        </w:rPr>
        <w:t>加工食品前应认真检查食品原料和辅料，腐败、变质或超过保质期的不得加工。</w:t>
      </w:r>
    </w:p>
    <w:p>
      <w:pPr>
        <w:pStyle w:val="47"/>
        <w:rPr>
          <w:rFonts w:hint="eastAsia"/>
        </w:rPr>
      </w:pPr>
      <w:r>
        <w:rPr>
          <w:rFonts w:hint="eastAsia"/>
        </w:rPr>
        <w:t>不得将回收后的食品（包括辅料）经烹调加工后再次供应。</w:t>
      </w:r>
    </w:p>
    <w:p>
      <w:pPr>
        <w:pStyle w:val="47"/>
        <w:rPr>
          <w:rFonts w:hint="eastAsia"/>
        </w:rPr>
      </w:pPr>
      <w:r>
        <w:rPr>
          <w:rFonts w:hint="eastAsia"/>
        </w:rPr>
        <w:t>凉菜应当使用专用工具、容器，用前消毒，用后洗净并保持清洁。</w:t>
      </w:r>
    </w:p>
    <w:p>
      <w:pPr>
        <w:pStyle w:val="47"/>
        <w:rPr>
          <w:rFonts w:hint="eastAsia"/>
        </w:rPr>
      </w:pPr>
      <w:r>
        <w:rPr>
          <w:rFonts w:hint="eastAsia"/>
        </w:rPr>
        <w:t>待加工食品与直接入口食品、原料与成品应分开存放，摆放在橱外、室外的成品须采取防蝇、防尘措施。</w:t>
      </w:r>
    </w:p>
    <w:p>
      <w:pPr>
        <w:pStyle w:val="47"/>
        <w:rPr>
          <w:rFonts w:hint="eastAsia"/>
        </w:rPr>
      </w:pPr>
      <w:r>
        <w:rPr>
          <w:rFonts w:hint="eastAsia"/>
        </w:rPr>
        <w:t>需要冷藏的熟制品应当冷却后再冷藏。</w:t>
      </w:r>
    </w:p>
    <w:p>
      <w:pPr>
        <w:pStyle w:val="47"/>
        <w:rPr>
          <w:rFonts w:hint="eastAsia"/>
        </w:rPr>
      </w:pPr>
      <w:r>
        <w:rPr>
          <w:rFonts w:hint="eastAsia"/>
        </w:rPr>
        <w:t>制作好的凉菜要当餐用完，现榨果蔬汁和水果拼盘要当餐供应。</w:t>
      </w:r>
    </w:p>
    <w:p>
      <w:pPr>
        <w:pStyle w:val="47"/>
        <w:rPr>
          <w:rFonts w:hint="eastAsia"/>
        </w:rPr>
      </w:pPr>
      <w:r>
        <w:rPr>
          <w:rFonts w:hint="eastAsia"/>
        </w:rPr>
        <w:t>有食品留样制度，有食品留样柜和留样记录。</w:t>
      </w:r>
    </w:p>
    <w:p>
      <w:pPr>
        <w:pStyle w:val="47"/>
        <w:rPr>
          <w:rFonts w:hint="eastAsia"/>
        </w:rPr>
      </w:pPr>
      <w:r>
        <w:rPr>
          <w:rFonts w:hint="eastAsia"/>
        </w:rPr>
        <w:t>提供的肉鱼蛋禽、蔬菜水果等以自种、自养或周边农户供应，符合绿色、有机、无公害。</w:t>
      </w:r>
    </w:p>
    <w:p>
      <w:pPr>
        <w:pStyle w:val="47"/>
        <w:rPr>
          <w:rFonts w:hint="eastAsia"/>
        </w:rPr>
      </w:pPr>
      <w:r>
        <w:rPr>
          <w:rFonts w:hint="eastAsia"/>
        </w:rPr>
        <w:t>海产品加工应使用专用工具、容器，加工时应避免可食部分受到污染；加工后至食用的间隔时间不得超过 1 h；生食海产品存放应使用保鲜膜分隔。</w:t>
      </w:r>
    </w:p>
    <w:p>
      <w:pPr>
        <w:pStyle w:val="46"/>
        <w:rPr>
          <w:rFonts w:hint="eastAsia"/>
        </w:rPr>
      </w:pPr>
      <w:r>
        <w:rPr>
          <w:rFonts w:hint="eastAsia"/>
        </w:rPr>
        <w:t>厨房要求</w:t>
      </w:r>
    </w:p>
    <w:p>
      <w:pPr>
        <w:pStyle w:val="47"/>
        <w:rPr>
          <w:rFonts w:hint="eastAsia"/>
        </w:rPr>
      </w:pPr>
      <w:r>
        <w:rPr>
          <w:rFonts w:hint="eastAsia"/>
        </w:rPr>
        <w:t>厨房为独立的功能区，用无毒材料建成，地面硬化处理，防滑、有地沟（暗沟），易于清洗，墙面平整，墙面瓷砖墙裙不得低于 2</w:t>
      </w:r>
      <w:r>
        <w:t xml:space="preserve"> </w:t>
      </w:r>
      <w:r>
        <w:rPr>
          <w:rFonts w:hint="eastAsia"/>
        </w:rPr>
        <w:t>m，易清洗，无脱落。</w:t>
      </w:r>
    </w:p>
    <w:p>
      <w:pPr>
        <w:pStyle w:val="47"/>
        <w:rPr>
          <w:rFonts w:hint="eastAsia"/>
        </w:rPr>
      </w:pPr>
      <w:r>
        <w:rPr>
          <w:rFonts w:hint="eastAsia"/>
        </w:rPr>
        <w:t>大锅灶间、粗加工间、烹饪间、凉菜间、洗碗间应独立分开设置，食品与非食品、食品粗加工与制作分设或隔离。</w:t>
      </w:r>
    </w:p>
    <w:p>
      <w:pPr>
        <w:pStyle w:val="47"/>
        <w:rPr>
          <w:rFonts w:hint="eastAsia"/>
        </w:rPr>
      </w:pPr>
      <w:r>
        <w:rPr>
          <w:rFonts w:hint="eastAsia"/>
        </w:rPr>
        <w:t>餐（饮）具洗涤池、清洗池、消毒池设置合理，消毒卫生条件符合 GB</w:t>
      </w:r>
      <w:r>
        <w:t xml:space="preserve"> </w:t>
      </w:r>
      <w:r>
        <w:rPr>
          <w:rFonts w:hint="eastAsia"/>
        </w:rPr>
        <w:t>14934</w:t>
      </w:r>
      <w:r>
        <w:t xml:space="preserve"> </w:t>
      </w:r>
      <w:r>
        <w:rPr>
          <w:rFonts w:hint="eastAsia"/>
        </w:rPr>
        <w:t>的规定，蔬菜清洗池与肉类清洗池独立分设。</w:t>
      </w:r>
    </w:p>
    <w:p>
      <w:pPr>
        <w:pStyle w:val="47"/>
        <w:rPr>
          <w:rFonts w:hint="eastAsia"/>
        </w:rPr>
      </w:pPr>
      <w:r>
        <w:rPr>
          <w:rFonts w:hint="eastAsia"/>
        </w:rPr>
        <w:t>有冷藏、冷冻设备和餐具消毒设备，生熟食品分开贮藏。</w:t>
      </w:r>
    </w:p>
    <w:p>
      <w:pPr>
        <w:pStyle w:val="47"/>
        <w:rPr>
          <w:rFonts w:hint="eastAsia"/>
        </w:rPr>
      </w:pPr>
      <w:r>
        <w:rPr>
          <w:rFonts w:hint="eastAsia"/>
        </w:rPr>
        <w:t>食品原料和餐具分开清洗。</w:t>
      </w:r>
    </w:p>
    <w:p>
      <w:pPr>
        <w:pStyle w:val="47"/>
        <w:rPr>
          <w:rFonts w:hint="eastAsia"/>
        </w:rPr>
      </w:pPr>
      <w:r>
        <w:rPr>
          <w:rFonts w:hint="eastAsia"/>
        </w:rPr>
        <w:t>厨具按规定进行消毒，有完整的消毒记录。</w:t>
      </w:r>
    </w:p>
    <w:p>
      <w:pPr>
        <w:pStyle w:val="47"/>
        <w:rPr>
          <w:rFonts w:hint="eastAsia"/>
        </w:rPr>
      </w:pPr>
      <w:r>
        <w:rPr>
          <w:rFonts w:hint="eastAsia"/>
        </w:rPr>
        <w:t>有封闭存放临时垃圾的设施。</w:t>
      </w:r>
    </w:p>
    <w:p>
      <w:pPr>
        <w:pStyle w:val="47"/>
        <w:rPr>
          <w:rFonts w:hint="eastAsia"/>
        </w:rPr>
      </w:pPr>
      <w:r>
        <w:rPr>
          <w:rFonts w:hint="eastAsia"/>
        </w:rPr>
        <w:t>有防止蚊蝇、老鼠等害虫进入的措施。</w:t>
      </w:r>
    </w:p>
    <w:p>
      <w:pPr>
        <w:pStyle w:val="47"/>
        <w:rPr>
          <w:rFonts w:hint="eastAsia"/>
        </w:rPr>
      </w:pPr>
      <w:r>
        <w:rPr>
          <w:rFonts w:hint="eastAsia"/>
        </w:rPr>
        <w:t>排水口具有防止逆流、有害动物侵入以及臭味产生的装置。</w:t>
      </w:r>
    </w:p>
    <w:p>
      <w:pPr>
        <w:pStyle w:val="47"/>
        <w:rPr>
          <w:rFonts w:hint="eastAsia"/>
        </w:rPr>
      </w:pPr>
      <w:r>
        <w:rPr>
          <w:rFonts w:hint="eastAsia"/>
        </w:rPr>
        <w:t xml:space="preserve">通风设施完备，运行良好，油烟、热气能迅速排出。    </w:t>
      </w:r>
    </w:p>
    <w:p>
      <w:pPr>
        <w:pStyle w:val="46"/>
        <w:rPr>
          <w:rFonts w:hint="eastAsia"/>
        </w:rPr>
      </w:pPr>
      <w:r>
        <w:rPr>
          <w:rFonts w:hint="eastAsia"/>
        </w:rPr>
        <w:t>厕所要求</w:t>
      </w:r>
    </w:p>
    <w:p>
      <w:pPr>
        <w:pStyle w:val="47"/>
        <w:rPr>
          <w:rFonts w:hint="eastAsia"/>
        </w:rPr>
      </w:pPr>
      <w:r>
        <w:rPr>
          <w:rFonts w:hint="eastAsia"/>
        </w:rPr>
        <w:t>布局合理，与接待能力及服务功能相适应，与周边环境和建筑相协调；达到 A</w:t>
      </w:r>
      <w:r>
        <w:t xml:space="preserve"> </w:t>
      </w:r>
      <w:r>
        <w:rPr>
          <w:rFonts w:hint="eastAsia"/>
        </w:rPr>
        <w:t>级以上旅游厕所标准。</w:t>
      </w:r>
    </w:p>
    <w:p>
      <w:pPr>
        <w:pStyle w:val="47"/>
        <w:rPr>
          <w:rFonts w:hint="eastAsia"/>
        </w:rPr>
      </w:pPr>
      <w:r>
        <w:rPr>
          <w:rFonts w:hint="eastAsia"/>
        </w:rPr>
        <w:t>采光、通风、照明良好，厕所内设备、环境整洁，有防蚊蝇、除臭措施，无异味。</w:t>
      </w:r>
    </w:p>
    <w:p>
      <w:pPr>
        <w:pStyle w:val="47"/>
        <w:rPr>
          <w:rFonts w:hint="eastAsia"/>
        </w:rPr>
      </w:pPr>
      <w:r>
        <w:rPr>
          <w:rFonts w:hint="eastAsia"/>
        </w:rPr>
        <w:t>男女厕所分开设置，数量满足需要，冲洗设备完好有效，宜有残疾人专用的厕位。</w:t>
      </w:r>
    </w:p>
    <w:p>
      <w:pPr>
        <w:pStyle w:val="47"/>
        <w:rPr>
          <w:rFonts w:hint="eastAsia"/>
        </w:rPr>
      </w:pPr>
      <w:r>
        <w:rPr>
          <w:rFonts w:hint="eastAsia"/>
        </w:rPr>
        <w:t>具备辅助设施：手纸、手纸筐、挂衣钩、洗手池（配备洗涤品）。</w:t>
      </w:r>
    </w:p>
    <w:p>
      <w:pPr>
        <w:pStyle w:val="47"/>
        <w:rPr>
          <w:rFonts w:hint="eastAsia"/>
        </w:rPr>
      </w:pPr>
      <w:r>
        <w:rPr>
          <w:rFonts w:hint="eastAsia"/>
        </w:rPr>
        <w:t>有污水管道，符合当地改厕要求，防渗、防腐、密封，能有效处理粪便，污水达标排放。</w:t>
      </w:r>
    </w:p>
    <w:p>
      <w:pPr>
        <w:pStyle w:val="46"/>
        <w:rPr>
          <w:rFonts w:hint="eastAsia"/>
        </w:rPr>
      </w:pPr>
      <w:r>
        <w:rPr>
          <w:rFonts w:hint="eastAsia"/>
        </w:rPr>
        <w:t>设施设备要求</w:t>
      </w:r>
    </w:p>
    <w:p>
      <w:pPr>
        <w:pStyle w:val="47"/>
        <w:rPr>
          <w:rFonts w:hint="eastAsia"/>
        </w:rPr>
      </w:pPr>
      <w:r>
        <w:rPr>
          <w:rFonts w:hint="eastAsia"/>
        </w:rPr>
        <w:t>配备电视机，有公用电话。</w:t>
      </w:r>
    </w:p>
    <w:p>
      <w:pPr>
        <w:pStyle w:val="47"/>
        <w:rPr>
          <w:rFonts w:hint="eastAsia"/>
        </w:rPr>
      </w:pPr>
      <w:r>
        <w:rPr>
          <w:rFonts w:hint="eastAsia"/>
        </w:rPr>
        <w:t>有展示地方文旅资源产品的显示设备。</w:t>
      </w:r>
    </w:p>
    <w:p>
      <w:pPr>
        <w:pStyle w:val="47"/>
        <w:rPr>
          <w:rFonts w:hint="eastAsia"/>
        </w:rPr>
      </w:pPr>
      <w:r>
        <w:rPr>
          <w:rFonts w:hint="eastAsia"/>
        </w:rPr>
        <w:t>有无线网络全覆盖，有网站或网页。</w:t>
      </w:r>
    </w:p>
    <w:p>
      <w:pPr>
        <w:pStyle w:val="47"/>
        <w:rPr>
          <w:rFonts w:hint="eastAsia"/>
        </w:rPr>
      </w:pPr>
      <w:r>
        <w:rPr>
          <w:rFonts w:hint="eastAsia"/>
        </w:rPr>
        <w:t>提供多功能充电服务，至少配备一个汽车充电桩。</w:t>
      </w:r>
    </w:p>
    <w:p>
      <w:pPr>
        <w:pStyle w:val="47"/>
        <w:rPr>
          <w:rFonts w:hint="eastAsia"/>
        </w:rPr>
      </w:pPr>
      <w:r>
        <w:rPr>
          <w:rFonts w:hint="eastAsia"/>
        </w:rPr>
        <w:t>备有必要的应急药品和简单急救器械，与医疗救援机构有合作机制。</w:t>
      </w:r>
    </w:p>
    <w:p>
      <w:pPr>
        <w:pStyle w:val="46"/>
        <w:rPr>
          <w:rFonts w:hint="eastAsia"/>
        </w:rPr>
      </w:pPr>
      <w:r>
        <w:rPr>
          <w:rFonts w:hint="eastAsia"/>
        </w:rPr>
        <w:t>客房要求</w:t>
      </w:r>
    </w:p>
    <w:p>
      <w:pPr>
        <w:pStyle w:val="47"/>
        <w:rPr>
          <w:rFonts w:hint="eastAsia"/>
        </w:rPr>
      </w:pPr>
      <w:r>
        <w:rPr>
          <w:rFonts w:hint="eastAsia"/>
        </w:rPr>
        <w:t>距城市（含县城）20 km</w:t>
      </w:r>
      <w:r>
        <w:t xml:space="preserve"> </w:t>
      </w:r>
      <w:r>
        <w:rPr>
          <w:rFonts w:hint="eastAsia"/>
        </w:rPr>
        <w:t>以内的可不设住宿设施，与周边民宿业主有合作机制。</w:t>
      </w:r>
    </w:p>
    <w:p>
      <w:pPr>
        <w:pStyle w:val="47"/>
        <w:rPr>
          <w:rFonts w:hint="eastAsia"/>
        </w:rPr>
      </w:pPr>
      <w:r>
        <w:rPr>
          <w:rFonts w:hint="eastAsia"/>
        </w:rPr>
        <w:t>客房装修较好，配备有皖东地域特色的工艺品、美术品等。</w:t>
      </w:r>
    </w:p>
    <w:p>
      <w:pPr>
        <w:pStyle w:val="47"/>
        <w:rPr>
          <w:rFonts w:hint="eastAsia"/>
        </w:rPr>
      </w:pPr>
      <w:r>
        <w:rPr>
          <w:rFonts w:hint="eastAsia"/>
        </w:rPr>
        <w:t>游客人均居住面积不低于 8</w:t>
      </w:r>
      <w:r>
        <w:t xml:space="preserve"> </w:t>
      </w:r>
      <w:r>
        <w:rPr>
          <w:rFonts w:hint="eastAsia"/>
        </w:rPr>
        <w:t>㎡；客房设有卫生间，有抽水恭桶或冲水便池、面盆、浴缸或淋浴等设备，并采取有效的防滑措施；24 h</w:t>
      </w:r>
      <w:r>
        <w:t xml:space="preserve"> </w:t>
      </w:r>
      <w:r>
        <w:rPr>
          <w:rFonts w:hint="eastAsia"/>
        </w:rPr>
        <w:t>供应冷热水。客房提供饮水服务，配备相应杯具；客房10间或 20</w:t>
      </w:r>
      <w:r>
        <w:t xml:space="preserve"> </w:t>
      </w:r>
      <w:r>
        <w:rPr>
          <w:rFonts w:hint="eastAsia"/>
        </w:rPr>
        <w:t>个床位以上。</w:t>
      </w:r>
    </w:p>
    <w:p>
      <w:pPr>
        <w:pStyle w:val="47"/>
        <w:rPr>
          <w:rFonts w:hint="eastAsia"/>
        </w:rPr>
      </w:pPr>
      <w:r>
        <w:rPr>
          <w:rFonts w:hint="eastAsia"/>
        </w:rPr>
        <w:t>房间照明良好，有电源插座、夜灯；配备桌椅、床头柜、衣架、电视机、冷暖空调；家具齐全，使用性能良好；门锁有暗销防盗设置。在显著位置张贴应急疏散图和相关说明。</w:t>
      </w:r>
    </w:p>
    <w:p>
      <w:pPr>
        <w:pStyle w:val="47"/>
        <w:rPr>
          <w:rFonts w:hint="eastAsia"/>
        </w:rPr>
      </w:pPr>
      <w:r>
        <w:rPr>
          <w:rFonts w:hint="eastAsia"/>
        </w:rPr>
        <w:t>客房、卫生间每天至少整理 1</w:t>
      </w:r>
      <w:r>
        <w:t xml:space="preserve"> </w:t>
      </w:r>
      <w:r>
        <w:rPr>
          <w:rFonts w:hint="eastAsia"/>
        </w:rPr>
        <w:t>次，并可根据游客要求随时整理。</w:t>
      </w:r>
    </w:p>
    <w:p>
      <w:pPr>
        <w:pStyle w:val="47"/>
        <w:rPr>
          <w:rFonts w:hint="eastAsia"/>
        </w:rPr>
      </w:pPr>
      <w:r>
        <w:rPr>
          <w:rFonts w:hint="eastAsia"/>
        </w:rPr>
        <w:t>床单、枕套、被套等床上用品均为合格产品，一客一换，或根据游客的要求更换。</w:t>
      </w:r>
    </w:p>
    <w:p>
      <w:pPr>
        <w:pStyle w:val="47"/>
        <w:rPr>
          <w:rFonts w:hint="eastAsia"/>
        </w:rPr>
      </w:pPr>
      <w:r>
        <w:rPr>
          <w:rFonts w:hint="eastAsia"/>
        </w:rPr>
        <w:t>有防蟑螂、蛇、老鼠、蚊蝇等措施。</w:t>
      </w:r>
    </w:p>
    <w:p>
      <w:pPr>
        <w:pStyle w:val="46"/>
        <w:rPr>
          <w:rFonts w:hint="eastAsia"/>
        </w:rPr>
      </w:pPr>
      <w:r>
        <w:rPr>
          <w:rFonts w:hint="eastAsia"/>
        </w:rPr>
        <w:t>购物要求</w:t>
      </w:r>
    </w:p>
    <w:p>
      <w:pPr>
        <w:pStyle w:val="47"/>
        <w:rPr>
          <w:rFonts w:hint="eastAsia"/>
        </w:rPr>
      </w:pPr>
      <w:r>
        <w:rPr>
          <w:rFonts w:hint="eastAsia"/>
        </w:rPr>
        <w:t>设有旅游商品经营区，面积不少于 30 ㎡，商品应质量合格，明码标价，无欺诈行为。</w:t>
      </w:r>
    </w:p>
    <w:p>
      <w:pPr>
        <w:pStyle w:val="47"/>
        <w:rPr>
          <w:rFonts w:hint="eastAsia"/>
        </w:rPr>
      </w:pPr>
      <w:r>
        <w:rPr>
          <w:rFonts w:hint="eastAsia"/>
        </w:rPr>
        <w:t>有皖东农副土特产品、民间工艺品等，有体现皖东文化的旅游纪念品。</w:t>
      </w:r>
    </w:p>
    <w:p>
      <w:pPr>
        <w:pStyle w:val="46"/>
        <w:rPr>
          <w:rFonts w:hint="eastAsia"/>
        </w:rPr>
      </w:pPr>
      <w:r>
        <w:rPr>
          <w:rFonts w:hint="eastAsia"/>
        </w:rPr>
        <w:t>服务要求</w:t>
      </w:r>
    </w:p>
    <w:p>
      <w:pPr>
        <w:pStyle w:val="47"/>
        <w:rPr>
          <w:rFonts w:hint="eastAsia"/>
        </w:rPr>
      </w:pPr>
      <w:r>
        <w:rPr>
          <w:rFonts w:hint="eastAsia"/>
        </w:rPr>
        <w:t>遵守法律法规，尊重社会公德和职业道德，诚实信用，公平交易。</w:t>
      </w:r>
    </w:p>
    <w:p>
      <w:pPr>
        <w:pStyle w:val="47"/>
        <w:rPr>
          <w:rFonts w:hint="eastAsia"/>
        </w:rPr>
      </w:pPr>
      <w:r>
        <w:rPr>
          <w:rFonts w:hint="eastAsia"/>
        </w:rPr>
        <w:t>尊重游客的宗教信仰和民族习惯。</w:t>
      </w:r>
    </w:p>
    <w:p>
      <w:pPr>
        <w:pStyle w:val="47"/>
        <w:rPr>
          <w:rFonts w:hint="eastAsia"/>
        </w:rPr>
      </w:pPr>
      <w:r>
        <w:rPr>
          <w:rFonts w:hint="eastAsia"/>
        </w:rPr>
        <w:t>对游客礼貌、友好、真诚、和睦，平等相待。</w:t>
      </w:r>
    </w:p>
    <w:p>
      <w:pPr>
        <w:pStyle w:val="47"/>
        <w:rPr>
          <w:rFonts w:hint="eastAsia"/>
        </w:rPr>
      </w:pPr>
      <w:r>
        <w:rPr>
          <w:rFonts w:hint="eastAsia"/>
        </w:rPr>
        <w:t>着装整洁，表情自然，举止得体，热情适度。</w:t>
      </w:r>
    </w:p>
    <w:p>
      <w:pPr>
        <w:pStyle w:val="47"/>
        <w:rPr>
          <w:rFonts w:hint="eastAsia"/>
        </w:rPr>
      </w:pPr>
      <w:r>
        <w:rPr>
          <w:rFonts w:hint="eastAsia"/>
        </w:rPr>
        <w:t>语言文明，表达清晰，使用普通话服务。</w:t>
      </w:r>
    </w:p>
    <w:p>
      <w:pPr>
        <w:pStyle w:val="47"/>
        <w:rPr>
          <w:rFonts w:hint="eastAsia"/>
        </w:rPr>
      </w:pPr>
      <w:r>
        <w:rPr>
          <w:rFonts w:hint="eastAsia"/>
        </w:rPr>
        <w:t>有服务操作规范，并按规范提供服务。</w:t>
      </w:r>
    </w:p>
    <w:p>
      <w:pPr>
        <w:pStyle w:val="47"/>
        <w:rPr>
          <w:rFonts w:hint="eastAsia"/>
        </w:rPr>
      </w:pPr>
      <w:r>
        <w:rPr>
          <w:rFonts w:hint="eastAsia"/>
        </w:rPr>
        <w:t>服务人员统一着装，得体、大方，服饰和配饰具有皖东地域文化元素。</w:t>
      </w:r>
    </w:p>
    <w:p>
      <w:pPr>
        <w:pStyle w:val="47"/>
        <w:rPr>
          <w:rFonts w:hint="eastAsia"/>
        </w:rPr>
      </w:pPr>
      <w:r>
        <w:rPr>
          <w:rFonts w:hint="eastAsia"/>
        </w:rPr>
        <w:t>员工定期更换衣帽，接触直接入口食品的人员工作衣帽每天更换。</w:t>
      </w:r>
    </w:p>
    <w:p>
      <w:pPr>
        <w:pStyle w:val="47"/>
        <w:rPr>
          <w:rFonts w:hint="eastAsia"/>
        </w:rPr>
      </w:pPr>
      <w:r>
        <w:rPr>
          <w:rFonts w:hint="eastAsia"/>
        </w:rPr>
        <w:t>掌握基本安全知识，具有使用安全设备的基本技能，能够在紧急情况下操作报警设备。</w:t>
      </w:r>
    </w:p>
    <w:p>
      <w:pPr>
        <w:pStyle w:val="45"/>
        <w:rPr>
          <w:rFonts w:hint="eastAsia"/>
        </w:rPr>
      </w:pPr>
      <w:r>
        <w:rPr>
          <w:rFonts w:hint="eastAsia"/>
        </w:rPr>
        <w:t>主题特色项目</w:t>
      </w:r>
    </w:p>
    <w:p>
      <w:pPr>
        <w:pStyle w:val="46"/>
        <w:rPr>
          <w:rFonts w:hint="eastAsia"/>
        </w:rPr>
      </w:pPr>
      <w:r>
        <w:rPr>
          <w:rFonts w:hint="eastAsia"/>
        </w:rPr>
        <w:t>民居特色</w:t>
      </w:r>
    </w:p>
    <w:p>
      <w:pPr>
        <w:pStyle w:val="47"/>
        <w:rPr>
          <w:rFonts w:hint="eastAsia"/>
        </w:rPr>
      </w:pPr>
      <w:r>
        <w:rPr>
          <w:rFonts w:hint="eastAsia"/>
        </w:rPr>
        <w:t>主体建筑物风格突显一种皖东地域文化主题。</w:t>
      </w:r>
    </w:p>
    <w:p>
      <w:pPr>
        <w:pStyle w:val="47"/>
        <w:rPr>
          <w:rFonts w:hint="eastAsia"/>
        </w:rPr>
      </w:pPr>
      <w:r>
        <w:rPr>
          <w:rFonts w:hint="eastAsia"/>
        </w:rPr>
        <w:t>建筑设计、装修具有皖东地域文化内涵。</w:t>
      </w:r>
    </w:p>
    <w:p>
      <w:pPr>
        <w:pStyle w:val="47"/>
      </w:pPr>
      <w:r>
        <w:rPr>
          <w:rFonts w:hint="eastAsia"/>
        </w:rPr>
        <w:t>采用低碳清洁能源，体现绿色环保和循环经济理念。</w:t>
      </w:r>
    </w:p>
    <w:p>
      <w:pPr>
        <w:pStyle w:val="69"/>
        <w:rPr>
          <w:rFonts w:hint="eastAsia"/>
        </w:rPr>
      </w:pPr>
      <w:r>
        <w:rPr>
          <w:rFonts w:hint="eastAsia"/>
        </w:rPr>
        <w:t>如太阳能、地热能、水能、风能、生物能等。</w:t>
      </w:r>
    </w:p>
    <w:p>
      <w:pPr>
        <w:pStyle w:val="46"/>
        <w:rPr>
          <w:rFonts w:hint="eastAsia"/>
        </w:rPr>
      </w:pPr>
      <w:r>
        <w:rPr>
          <w:rFonts w:hint="eastAsia"/>
        </w:rPr>
        <w:t>餐厅特色</w:t>
      </w:r>
    </w:p>
    <w:p>
      <w:pPr>
        <w:pStyle w:val="47"/>
        <w:rPr>
          <w:rFonts w:hint="eastAsia"/>
        </w:rPr>
      </w:pPr>
      <w:r>
        <w:rPr>
          <w:rFonts w:hint="eastAsia"/>
        </w:rPr>
        <w:t>装修风格具有皖东地域文化元素和氛围，凸显一种文化主题。</w:t>
      </w:r>
    </w:p>
    <w:p>
      <w:pPr>
        <w:pStyle w:val="47"/>
        <w:rPr>
          <w:rFonts w:hint="eastAsia"/>
        </w:rPr>
      </w:pPr>
      <w:r>
        <w:rPr>
          <w:rFonts w:hint="eastAsia"/>
        </w:rPr>
        <w:t>餐具、酒具、茶具等器皿设计应体现皖东地域文化特色元素。</w:t>
      </w:r>
    </w:p>
    <w:p>
      <w:pPr>
        <w:pStyle w:val="47"/>
        <w:rPr>
          <w:rFonts w:hint="eastAsia"/>
        </w:rPr>
      </w:pPr>
      <w:r>
        <w:rPr>
          <w:rFonts w:hint="eastAsia"/>
        </w:rPr>
        <w:t>灯光设计具有专业性和艺术感，能烘托就餐气氛，彰显雅致情调。</w:t>
      </w:r>
    </w:p>
    <w:p>
      <w:pPr>
        <w:pStyle w:val="47"/>
        <w:rPr>
          <w:rFonts w:hint="eastAsia"/>
        </w:rPr>
      </w:pPr>
      <w:r>
        <w:rPr>
          <w:rFonts w:hint="eastAsia"/>
        </w:rPr>
        <w:t>有影像或音乐设备，可播放本地风光片、民间节目与音乐。</w:t>
      </w:r>
    </w:p>
    <w:p>
      <w:pPr>
        <w:pStyle w:val="46"/>
        <w:rPr>
          <w:rFonts w:hint="eastAsia"/>
        </w:rPr>
      </w:pPr>
      <w:r>
        <w:rPr>
          <w:rFonts w:hint="eastAsia"/>
        </w:rPr>
        <w:t>餐饮特色</w:t>
      </w:r>
    </w:p>
    <w:p>
      <w:pPr>
        <w:pStyle w:val="47"/>
        <w:rPr>
          <w:rFonts w:hint="eastAsia"/>
        </w:rPr>
      </w:pPr>
      <w:r>
        <w:rPr>
          <w:rFonts w:hint="eastAsia"/>
        </w:rPr>
        <w:t>早餐提供自制的农家早点以及地方小吃。</w:t>
      </w:r>
    </w:p>
    <w:p>
      <w:pPr>
        <w:pStyle w:val="47"/>
        <w:rPr>
          <w:rFonts w:hint="eastAsia"/>
        </w:rPr>
      </w:pPr>
      <w:r>
        <w:rPr>
          <w:rFonts w:hint="eastAsia"/>
        </w:rPr>
        <w:t>能提供具有皖东地域文化特色的风味菜肴，当地时令新鲜果蔬等加工制作的农家风味小吃。</w:t>
      </w:r>
    </w:p>
    <w:p>
      <w:pPr>
        <w:pStyle w:val="47"/>
        <w:rPr>
          <w:rFonts w:hint="eastAsia"/>
        </w:rPr>
      </w:pPr>
      <w:r>
        <w:rPr>
          <w:rFonts w:hint="eastAsia"/>
        </w:rPr>
        <w:t>有特色鲜明、享有较高知名度的招牌菜、面点和饮品。</w:t>
      </w:r>
    </w:p>
    <w:p>
      <w:pPr>
        <w:pStyle w:val="47"/>
        <w:rPr>
          <w:rFonts w:hint="eastAsia"/>
        </w:rPr>
      </w:pPr>
      <w:r>
        <w:rPr>
          <w:rFonts w:hint="eastAsia"/>
        </w:rPr>
        <w:t>能够根据游客的需求提供特殊餐饮，根据游客需求提供夜宵。</w:t>
      </w:r>
    </w:p>
    <w:p>
      <w:pPr>
        <w:pStyle w:val="47"/>
        <w:rPr>
          <w:rFonts w:hint="eastAsia"/>
        </w:rPr>
      </w:pPr>
      <w:r>
        <w:rPr>
          <w:rFonts w:hint="eastAsia"/>
        </w:rPr>
        <w:t>能提供自制品种在 6</w:t>
      </w:r>
      <w:r>
        <w:t xml:space="preserve"> </w:t>
      </w:r>
      <w:r>
        <w:rPr>
          <w:rFonts w:hint="eastAsia"/>
        </w:rPr>
        <w:t>个以上的皖东特色菜肴，能提供自制自创品种在 4</w:t>
      </w:r>
      <w:r>
        <w:t xml:space="preserve"> </w:t>
      </w:r>
      <w:r>
        <w:rPr>
          <w:rFonts w:hint="eastAsia"/>
        </w:rPr>
        <w:t>个以上的皖东农家风味小吃。</w:t>
      </w:r>
    </w:p>
    <w:p>
      <w:pPr>
        <w:pStyle w:val="47"/>
        <w:rPr>
          <w:rFonts w:hint="eastAsia"/>
        </w:rPr>
      </w:pPr>
      <w:r>
        <w:rPr>
          <w:rFonts w:hint="eastAsia"/>
        </w:rPr>
        <w:t>根据少数民族游客的饮食习惯提供符合其民族风味的基本菜肴。</w:t>
      </w:r>
    </w:p>
    <w:p>
      <w:pPr>
        <w:pStyle w:val="46"/>
        <w:rPr>
          <w:rFonts w:hint="eastAsia"/>
        </w:rPr>
      </w:pPr>
      <w:r>
        <w:rPr>
          <w:rFonts w:hint="eastAsia"/>
        </w:rPr>
        <w:t>服务特色</w:t>
      </w:r>
    </w:p>
    <w:p>
      <w:pPr>
        <w:pStyle w:val="47"/>
        <w:rPr>
          <w:rFonts w:hint="eastAsia"/>
        </w:rPr>
      </w:pPr>
      <w:r>
        <w:rPr>
          <w:rFonts w:hint="eastAsia"/>
        </w:rPr>
        <w:t>以音像、图片、文字等方式展示和介绍当地的历史传说、风土人情以及本农家乐的特点。</w:t>
      </w:r>
    </w:p>
    <w:p>
      <w:pPr>
        <w:pStyle w:val="47"/>
        <w:rPr>
          <w:rFonts w:hint="eastAsia"/>
        </w:rPr>
      </w:pPr>
      <w:r>
        <w:rPr>
          <w:rFonts w:hint="eastAsia"/>
        </w:rPr>
        <w:t>有展示、介绍或售卖当地的特色农副产品、工艺品、纪念品等。</w:t>
      </w:r>
    </w:p>
    <w:p>
      <w:pPr>
        <w:pStyle w:val="47"/>
        <w:rPr>
          <w:rFonts w:hint="eastAsia"/>
        </w:rPr>
      </w:pPr>
      <w:r>
        <w:rPr>
          <w:rFonts w:hint="eastAsia"/>
        </w:rPr>
        <w:t>介绍本店提供的餐饮具有的特色及有关营养方面的知识。</w:t>
      </w:r>
    </w:p>
    <w:p>
      <w:pPr>
        <w:pStyle w:val="47"/>
        <w:rPr>
          <w:rFonts w:hint="eastAsia"/>
        </w:rPr>
      </w:pPr>
      <w:r>
        <w:rPr>
          <w:rFonts w:hint="eastAsia"/>
        </w:rPr>
        <w:t>提供物品寄存、旅游宣传册、旅行用品等服务。</w:t>
      </w:r>
    </w:p>
    <w:p>
      <w:pPr>
        <w:pStyle w:val="47"/>
      </w:pPr>
      <w:r>
        <w:rPr>
          <w:rFonts w:hint="eastAsia"/>
        </w:rPr>
        <w:t>能根据经营环境紧密结合当地主题特色设计多项旅游活动的，应此为主题从事经营。</w:t>
      </w:r>
    </w:p>
    <w:p>
      <w:pPr>
        <w:pStyle w:val="69"/>
        <w:rPr>
          <w:rFonts w:hint="eastAsia"/>
        </w:rPr>
      </w:pPr>
      <w:r>
        <w:rPr>
          <w:rFonts w:hint="eastAsia"/>
        </w:rPr>
        <w:t>如有特色疗养、养生、休闲、娱乐、健身、运动功能等。</w:t>
      </w:r>
    </w:p>
    <w:p>
      <w:pPr>
        <w:pStyle w:val="47"/>
        <w:rPr>
          <w:rFonts w:hint="eastAsia"/>
        </w:rPr>
      </w:pPr>
      <w:r>
        <w:rPr>
          <w:rFonts w:hint="eastAsia"/>
        </w:rPr>
        <w:t>提供 3</w:t>
      </w:r>
      <w:r>
        <w:t xml:space="preserve"> </w:t>
      </w:r>
      <w:r>
        <w:rPr>
          <w:rFonts w:hint="eastAsia"/>
        </w:rPr>
        <w:t>种以上参与性农（渔）事活动，农（渔）事活动包括：育苗、播种、栽培、插秧、除草、修剪、收割、施肥、养殖、垂钓、捕捞、放牧、饲养、采摘、挤奶、榨油、划船、农具制作、手工艺体验以及其他农（渔）事活动。</w:t>
      </w:r>
    </w:p>
    <w:p>
      <w:pPr>
        <w:pStyle w:val="45"/>
        <w:rPr>
          <w:rFonts w:hint="eastAsia"/>
        </w:rPr>
      </w:pPr>
      <w:r>
        <w:rPr>
          <w:rFonts w:hint="eastAsia"/>
        </w:rPr>
        <w:t>综合加分项目</w:t>
      </w:r>
    </w:p>
    <w:p>
      <w:pPr>
        <w:pStyle w:val="46"/>
        <w:rPr>
          <w:rFonts w:hint="eastAsia"/>
        </w:rPr>
      </w:pPr>
      <w:r>
        <w:rPr>
          <w:rFonts w:hint="eastAsia"/>
        </w:rPr>
        <w:t>乡村旅游特色活动</w:t>
      </w:r>
    </w:p>
    <w:p>
      <w:pPr>
        <w:pStyle w:val="47"/>
        <w:rPr>
          <w:rFonts w:hint="eastAsia"/>
        </w:rPr>
      </w:pPr>
      <w:r>
        <w:rPr>
          <w:rFonts w:hint="eastAsia"/>
        </w:rPr>
        <w:t>乡村旅游活动项目与其他旅游点以及附近乡村旅游点之间具有较强的差异性。</w:t>
      </w:r>
    </w:p>
    <w:p>
      <w:pPr>
        <w:pStyle w:val="47"/>
        <w:rPr>
          <w:rFonts w:hint="eastAsia"/>
        </w:rPr>
      </w:pPr>
      <w:r>
        <w:rPr>
          <w:rFonts w:hint="eastAsia"/>
        </w:rPr>
        <w:t>乡村旅游活动具有充足的活动空间，能进行小型的民俗文化表演。</w:t>
      </w:r>
    </w:p>
    <w:p>
      <w:pPr>
        <w:pStyle w:val="47"/>
        <w:rPr>
          <w:rFonts w:hint="eastAsia"/>
        </w:rPr>
      </w:pPr>
      <w:r>
        <w:rPr>
          <w:rFonts w:hint="eastAsia"/>
        </w:rPr>
        <w:t>定期或不定期举办赏花采摘等活动。</w:t>
      </w:r>
    </w:p>
    <w:p>
      <w:pPr>
        <w:pStyle w:val="47"/>
        <w:rPr>
          <w:rFonts w:hint="eastAsia"/>
        </w:rPr>
      </w:pPr>
      <w:r>
        <w:rPr>
          <w:rFonts w:hint="eastAsia"/>
        </w:rPr>
        <w:t>定期或不定期举办赛事、民俗表演、庙会山会等活动。</w:t>
      </w:r>
    </w:p>
    <w:p>
      <w:pPr>
        <w:pStyle w:val="46"/>
        <w:rPr>
          <w:rFonts w:hint="eastAsia"/>
        </w:rPr>
      </w:pPr>
      <w:r>
        <w:rPr>
          <w:rFonts w:hint="eastAsia"/>
        </w:rPr>
        <w:t>乡村旅游特色资源</w:t>
      </w:r>
    </w:p>
    <w:p>
      <w:pPr>
        <w:pStyle w:val="47"/>
        <w:rPr>
          <w:rFonts w:hint="eastAsia"/>
        </w:rPr>
      </w:pPr>
      <w:r>
        <w:rPr>
          <w:rFonts w:hint="eastAsia"/>
        </w:rPr>
        <w:t>建有民俗展示、农具展示、村史展览等场馆。</w:t>
      </w:r>
    </w:p>
    <w:p>
      <w:pPr>
        <w:pStyle w:val="47"/>
        <w:rPr>
          <w:rFonts w:hint="eastAsia"/>
        </w:rPr>
      </w:pPr>
      <w:r>
        <w:rPr>
          <w:rFonts w:hint="eastAsia"/>
        </w:rPr>
        <w:t>有兼具游览价值的果园、菜园、苗圃、茶园、养殖场、林场等。</w:t>
      </w:r>
    </w:p>
    <w:p>
      <w:pPr>
        <w:pStyle w:val="47"/>
        <w:rPr>
          <w:rFonts w:hint="eastAsia"/>
        </w:rPr>
      </w:pPr>
      <w:r>
        <w:rPr>
          <w:rFonts w:hint="eastAsia"/>
        </w:rPr>
        <w:t xml:space="preserve">有游览价值的山地、岛屿、河流、湖泊、峡谷、洞穴、湿地、温泉等。 </w:t>
      </w:r>
    </w:p>
    <w:p>
      <w:pPr>
        <w:pStyle w:val="47"/>
        <w:rPr>
          <w:rFonts w:hint="eastAsia"/>
        </w:rPr>
      </w:pPr>
      <w:r>
        <w:rPr>
          <w:rFonts w:hint="eastAsia"/>
        </w:rPr>
        <w:t>有古民居建筑、古井、古桥、古牌坊、古建筑遗址等。</w:t>
      </w:r>
    </w:p>
    <w:p>
      <w:pPr>
        <w:pStyle w:val="47"/>
        <w:rPr>
          <w:rFonts w:hint="eastAsia"/>
        </w:rPr>
      </w:pPr>
      <w:r>
        <w:rPr>
          <w:rFonts w:hint="eastAsia"/>
        </w:rPr>
        <w:t>毗邻革命遗址、宗教遗存、名人故居等。</w:t>
      </w:r>
    </w:p>
    <w:p>
      <w:pPr>
        <w:pStyle w:val="46"/>
        <w:rPr>
          <w:rFonts w:hint="eastAsia"/>
        </w:rPr>
      </w:pPr>
      <w:r>
        <w:rPr>
          <w:rFonts w:hint="eastAsia"/>
        </w:rPr>
        <w:t>游客构成</w:t>
      </w:r>
    </w:p>
    <w:p>
      <w:pPr>
        <w:pStyle w:val="47"/>
        <w:rPr>
          <w:rFonts w:hint="eastAsia"/>
        </w:rPr>
      </w:pPr>
      <w:r>
        <w:rPr>
          <w:rFonts w:hint="eastAsia"/>
        </w:rPr>
        <w:t>每年接待省外游客达到 50％以上。</w:t>
      </w:r>
    </w:p>
    <w:p>
      <w:pPr>
        <w:pStyle w:val="47"/>
      </w:pPr>
      <w:r>
        <w:rPr>
          <w:rFonts w:hint="eastAsia"/>
        </w:rPr>
        <w:t>每年接待一定数量的特殊游客。</w:t>
      </w:r>
    </w:p>
    <w:p>
      <w:pPr>
        <w:pStyle w:val="69"/>
        <w:rPr>
          <w:rFonts w:hint="eastAsia"/>
        </w:rPr>
      </w:pPr>
      <w:r>
        <w:rPr>
          <w:rFonts w:hint="eastAsia"/>
        </w:rPr>
        <w:t>如旅游团队、艺术写生、研学群体等。</w:t>
      </w:r>
    </w:p>
    <w:p>
      <w:pPr>
        <w:pStyle w:val="46"/>
        <w:rPr>
          <w:rFonts w:hint="eastAsia"/>
        </w:rPr>
      </w:pPr>
      <w:r>
        <w:rPr>
          <w:rFonts w:hint="eastAsia"/>
        </w:rPr>
        <w:t>旅游项目荣誉</w:t>
      </w:r>
    </w:p>
    <w:p>
      <w:pPr>
        <w:pStyle w:val="29"/>
        <w:rPr>
          <w:rFonts w:hint="eastAsia"/>
        </w:rPr>
      </w:pPr>
      <w:r>
        <w:rPr>
          <w:rFonts w:hint="eastAsia"/>
        </w:rPr>
        <w:t>所在乡镇（街道、村、社区）是国家休闲农业与乡村旅游示范点农业旅游示范点或国家特色景观镇（村）。</w:t>
      </w:r>
    </w:p>
    <w:p>
      <w:pPr>
        <w:pStyle w:val="46"/>
        <w:rPr>
          <w:rFonts w:hint="eastAsia"/>
        </w:rPr>
      </w:pPr>
      <w:r>
        <w:rPr>
          <w:rFonts w:hint="eastAsia"/>
        </w:rPr>
        <w:t>游客满意度（现场抽样调查）</w:t>
      </w:r>
    </w:p>
    <w:p>
      <w:pPr>
        <w:pStyle w:val="29"/>
        <w:rPr>
          <w:rFonts w:hint="eastAsia"/>
        </w:rPr>
      </w:pPr>
      <w:r>
        <w:rPr>
          <w:rFonts w:hint="eastAsia"/>
        </w:rPr>
        <w:t>满意度在 95％以上。</w:t>
      </w:r>
    </w:p>
    <w:p>
      <w:pPr>
        <w:pStyle w:val="45"/>
        <w:rPr>
          <w:rFonts w:hint="eastAsia"/>
        </w:rPr>
      </w:pPr>
      <w:r>
        <w:rPr>
          <w:rFonts w:hint="eastAsia"/>
        </w:rPr>
        <w:t>服务评价管理</w:t>
      </w:r>
    </w:p>
    <w:p>
      <w:pPr>
        <w:pStyle w:val="127"/>
        <w:rPr>
          <w:rFonts w:hint="eastAsia"/>
        </w:rPr>
      </w:pPr>
      <w:r>
        <w:rPr>
          <w:rFonts w:hint="eastAsia"/>
        </w:rPr>
        <w:t>应建立质量投诉管理制度，设置投诉电话、投诉网页，并向客人公布。</w:t>
      </w:r>
    </w:p>
    <w:p>
      <w:pPr>
        <w:pStyle w:val="127"/>
        <w:rPr>
          <w:rFonts w:hint="eastAsia"/>
        </w:rPr>
      </w:pPr>
      <w:r>
        <w:rPr>
          <w:rFonts w:hint="eastAsia"/>
        </w:rPr>
        <w:t>对客人提出的投诉，未能当场处理的，准确记录投诉人姓名、投诉事由，调查核实情况，确定处理方法。对网上及电话投诉，应及时与投诉人联系，掌握客人投诉原因及要求。</w:t>
      </w:r>
    </w:p>
    <w:p>
      <w:pPr>
        <w:pStyle w:val="127"/>
        <w:rPr>
          <w:rFonts w:hint="eastAsia"/>
        </w:rPr>
      </w:pPr>
      <w:r>
        <w:rPr>
          <w:rFonts w:hint="eastAsia"/>
        </w:rPr>
        <w:t>投诉处理后，应及时回访，并做好相关记录。</w:t>
      </w:r>
    </w:p>
    <w:p>
      <w:pPr>
        <w:pStyle w:val="127"/>
        <w:rPr>
          <w:rFonts w:hint="eastAsia"/>
        </w:rPr>
      </w:pPr>
      <w:r>
        <w:rPr>
          <w:rFonts w:hint="eastAsia"/>
        </w:rPr>
        <w:t>定期对客人投诉原因及薄弱环节进行分析，找出发生或潜在发生质量问题的根本原因，采取纠正或预防措施以消除该根本原因，同时对改进情况进行跟踪。</w:t>
      </w:r>
    </w:p>
    <w:p>
      <w:pPr>
        <w:pStyle w:val="45"/>
        <w:rPr>
          <w:rFonts w:hint="eastAsia"/>
        </w:rPr>
      </w:pPr>
      <w:r>
        <w:rPr>
          <w:rFonts w:hint="eastAsia"/>
        </w:rPr>
        <w:t>文化主题</w:t>
      </w:r>
    </w:p>
    <w:p>
      <w:pPr>
        <w:pStyle w:val="46"/>
        <w:rPr>
          <w:rFonts w:hint="eastAsia"/>
        </w:rPr>
      </w:pPr>
      <w:r>
        <w:rPr>
          <w:rFonts w:hint="eastAsia"/>
        </w:rPr>
        <w:t>醉翁文化主题</w:t>
      </w:r>
    </w:p>
    <w:p>
      <w:pPr>
        <w:pStyle w:val="48"/>
        <w:spacing w:before="156" w:after="156"/>
        <w:rPr>
          <w:rFonts w:hint="eastAsia"/>
        </w:rPr>
      </w:pPr>
      <w:r>
        <w:rPr>
          <w:rFonts w:hint="eastAsia"/>
        </w:rPr>
        <w:t>建筑与环境</w:t>
      </w:r>
    </w:p>
    <w:p>
      <w:pPr>
        <w:pStyle w:val="116"/>
        <w:rPr>
          <w:rFonts w:hint="eastAsia"/>
        </w:rPr>
      </w:pPr>
      <w:r>
        <w:rPr>
          <w:rFonts w:hint="eastAsia"/>
        </w:rPr>
        <w:t>建筑外观风格宜具有醉翁亭式建筑特色，布局一般为庭院式、古典园林式、亭台楼阁式等，各建筑物间有机融合。</w:t>
      </w:r>
    </w:p>
    <w:p>
      <w:pPr>
        <w:pStyle w:val="116"/>
        <w:rPr>
          <w:rFonts w:hint="eastAsia"/>
        </w:rPr>
      </w:pPr>
      <w:r>
        <w:rPr>
          <w:rFonts w:hint="eastAsia"/>
        </w:rPr>
        <w:t>外部环境和内里布局宜体现醉翁文化特色，内涵。</w:t>
      </w:r>
    </w:p>
    <w:p>
      <w:pPr>
        <w:pStyle w:val="48"/>
        <w:spacing w:before="156" w:after="156"/>
        <w:rPr>
          <w:rFonts w:hint="eastAsia"/>
        </w:rPr>
      </w:pPr>
      <w:r>
        <w:rPr>
          <w:rFonts w:hint="eastAsia"/>
        </w:rPr>
        <w:t>餐饮接待设施</w:t>
      </w:r>
    </w:p>
    <w:p>
      <w:pPr>
        <w:pStyle w:val="116"/>
        <w:rPr>
          <w:rFonts w:hint="eastAsia"/>
        </w:rPr>
      </w:pPr>
      <w:r>
        <w:rPr>
          <w:rFonts w:hint="eastAsia"/>
        </w:rPr>
        <w:t>餐厅装饰氛围、餐具菜单、包间名称等能体现醉翁文化元素。</w:t>
      </w:r>
    </w:p>
    <w:p>
      <w:pPr>
        <w:pStyle w:val="116"/>
        <w:rPr>
          <w:rFonts w:hint="eastAsia"/>
        </w:rPr>
      </w:pPr>
      <w:r>
        <w:rPr>
          <w:rFonts w:hint="eastAsia"/>
        </w:rPr>
        <w:t>菜肴具有突出的农家特色，并与当地的历史、文化相吻合，有不少于 10</w:t>
      </w:r>
      <w:r>
        <w:t xml:space="preserve"> </w:t>
      </w:r>
      <w:r>
        <w:rPr>
          <w:rFonts w:hint="eastAsia"/>
        </w:rPr>
        <w:t>种独家自创的特色菜肴，包括但不限于：醉翁亭记中的山肴类菜品、野蔌类菜品；“太守宴”“丰乐宴”“同乐宴”等宴席组合。</w:t>
      </w:r>
    </w:p>
    <w:p>
      <w:pPr>
        <w:pStyle w:val="116"/>
        <w:rPr>
          <w:rFonts w:hint="eastAsia"/>
        </w:rPr>
      </w:pPr>
      <w:r>
        <w:rPr>
          <w:rFonts w:hint="eastAsia"/>
        </w:rPr>
        <w:t>菜品应制成图片展示，“单一菜品”可展示菜品主料、辅料、调料、器皿、烹制工艺、出品名称、出品特点、出品寓意等相关文字说明；“宴席组合”宜展示组成菜品、食谱特点、宴席寓意、宴席摆台中心装饰、宴席餐器皿等相关文字说明。</w:t>
      </w:r>
    </w:p>
    <w:p>
      <w:pPr>
        <w:pStyle w:val="116"/>
      </w:pPr>
      <w:r>
        <w:rPr>
          <w:rFonts w:hint="eastAsia"/>
        </w:rPr>
        <w:t>餐厅命名宜含有醉翁文化元素，可择《醉翁亭记》的名句来定店名。</w:t>
      </w:r>
    </w:p>
    <w:p>
      <w:pPr>
        <w:pStyle w:val="69"/>
        <w:rPr>
          <w:rFonts w:hint="eastAsia"/>
        </w:rPr>
      </w:pPr>
      <w:r>
        <w:rPr>
          <w:rFonts w:hint="eastAsia"/>
        </w:rPr>
        <w:t>如：醉翁、丰乐、讓泉、九曲流觞、古梅、宝宋、峰回路转等和结合当地风光命名。</w:t>
      </w:r>
    </w:p>
    <w:p>
      <w:pPr>
        <w:pStyle w:val="116"/>
      </w:pPr>
      <w:r>
        <w:rPr>
          <w:rFonts w:hint="eastAsia"/>
        </w:rPr>
        <w:t>餐厅布草、装饰、牌匾亦可按宋代风情和欧阳修的铭文择选，楹联可自撰，可择句，可用原联。</w:t>
      </w:r>
    </w:p>
    <w:p>
      <w:pPr>
        <w:pStyle w:val="70"/>
      </w:pPr>
      <w:r>
        <w:rPr>
          <w:rFonts w:hint="eastAsia"/>
        </w:rPr>
        <w:t>如：饮少辄醉、醉翁之意等。</w:t>
      </w:r>
    </w:p>
    <w:p>
      <w:pPr>
        <w:pStyle w:val="70"/>
        <w:rPr>
          <w:rFonts w:hint="eastAsia"/>
        </w:rPr>
      </w:pPr>
      <w:r>
        <w:rPr>
          <w:rFonts w:hint="eastAsia"/>
        </w:rPr>
        <w:t>如：翁去八百载醉乡犹存，山行六七里亭影不孤；饮既不多缘何能醉，年犹未迈奚自称翁；酿泉为酒，泉香而酒洌，临溪而渔，溪深而鱼肥等等。</w:t>
      </w:r>
    </w:p>
    <w:p>
      <w:pPr>
        <w:pStyle w:val="48"/>
        <w:spacing w:before="156" w:after="156"/>
        <w:rPr>
          <w:rFonts w:hint="eastAsia"/>
        </w:rPr>
      </w:pPr>
      <w:r>
        <w:rPr>
          <w:rFonts w:hint="eastAsia"/>
        </w:rPr>
        <w:t>活动及娱乐设施</w:t>
      </w:r>
    </w:p>
    <w:p>
      <w:pPr>
        <w:pStyle w:val="29"/>
        <w:rPr>
          <w:rFonts w:hint="eastAsia"/>
        </w:rPr>
      </w:pPr>
      <w:r>
        <w:rPr>
          <w:rFonts w:hint="eastAsia"/>
        </w:rPr>
        <w:t>当地特色的农事参与、民俗文化或研学娱乐活动。包括但不限于：赋诗作画；石刻撰写；采摘、游船等。</w:t>
      </w:r>
    </w:p>
    <w:p>
      <w:pPr>
        <w:pStyle w:val="48"/>
        <w:spacing w:before="156" w:after="156"/>
        <w:rPr>
          <w:rFonts w:hint="eastAsia"/>
        </w:rPr>
      </w:pPr>
      <w:r>
        <w:rPr>
          <w:rFonts w:hint="eastAsia"/>
        </w:rPr>
        <w:t>服务人员</w:t>
      </w:r>
    </w:p>
    <w:p>
      <w:pPr>
        <w:pStyle w:val="116"/>
      </w:pPr>
      <w:r>
        <w:rPr>
          <w:rFonts w:hint="eastAsia"/>
        </w:rPr>
        <w:t>服务人员应了解一些宋代及欧阳修文化知识。</w:t>
      </w:r>
    </w:p>
    <w:p>
      <w:pPr>
        <w:pStyle w:val="69"/>
        <w:rPr>
          <w:rFonts w:hint="eastAsia"/>
        </w:rPr>
      </w:pPr>
      <w:r>
        <w:rPr>
          <w:rFonts w:hint="eastAsia"/>
        </w:rPr>
        <w:t>如：知晓欧阳修的文章，熟读《醉翁亭记》等名篇，及典故、成语、名句。</w:t>
      </w:r>
    </w:p>
    <w:p>
      <w:pPr>
        <w:pStyle w:val="116"/>
        <w:rPr>
          <w:rFonts w:hint="eastAsia"/>
        </w:rPr>
      </w:pPr>
      <w:r>
        <w:rPr>
          <w:rFonts w:hint="eastAsia"/>
        </w:rPr>
        <w:t>应统一着装，服装古朴大方，有宋代气息。</w:t>
      </w:r>
    </w:p>
    <w:p>
      <w:pPr>
        <w:pStyle w:val="46"/>
        <w:rPr>
          <w:rFonts w:hint="eastAsia"/>
        </w:rPr>
      </w:pPr>
      <w:r>
        <w:rPr>
          <w:rFonts w:hint="eastAsia"/>
        </w:rPr>
        <w:t>大明文化主题</w:t>
      </w:r>
    </w:p>
    <w:p>
      <w:pPr>
        <w:pStyle w:val="48"/>
        <w:spacing w:before="156" w:after="156"/>
        <w:rPr>
          <w:rFonts w:hint="eastAsia"/>
        </w:rPr>
      </w:pPr>
      <w:r>
        <w:rPr>
          <w:rFonts w:hint="eastAsia"/>
        </w:rPr>
        <w:t>建筑与环境</w:t>
      </w:r>
    </w:p>
    <w:p>
      <w:pPr>
        <w:pStyle w:val="29"/>
        <w:rPr>
          <w:rFonts w:hint="eastAsia"/>
        </w:rPr>
      </w:pPr>
      <w:r>
        <w:rPr>
          <w:rFonts w:hint="eastAsia"/>
        </w:rPr>
        <w:t>建筑外观体现明代建筑风格特色；环境宜具有凤阳花鼓、凤画等地域文化特色。</w:t>
      </w:r>
    </w:p>
    <w:p>
      <w:pPr>
        <w:pStyle w:val="48"/>
        <w:spacing w:before="156" w:after="156"/>
        <w:rPr>
          <w:rFonts w:hint="eastAsia"/>
        </w:rPr>
      </w:pPr>
      <w:r>
        <w:rPr>
          <w:rFonts w:hint="eastAsia"/>
        </w:rPr>
        <w:t>大明文化元素</w:t>
      </w:r>
    </w:p>
    <w:p>
      <w:pPr>
        <w:pStyle w:val="116"/>
        <w:rPr>
          <w:rFonts w:hint="eastAsia"/>
        </w:rPr>
      </w:pPr>
      <w:r>
        <w:rPr>
          <w:rFonts w:hint="eastAsia"/>
        </w:rPr>
        <w:t>设计与大明文化主题相符的形象识别系统。</w:t>
      </w:r>
    </w:p>
    <w:p>
      <w:pPr>
        <w:pStyle w:val="116"/>
        <w:rPr>
          <w:rFonts w:hint="eastAsia"/>
        </w:rPr>
      </w:pPr>
      <w:r>
        <w:rPr>
          <w:rFonts w:hint="eastAsia"/>
        </w:rPr>
        <w:t>餐厅命名应含有大明文化元素。</w:t>
      </w:r>
    </w:p>
    <w:p>
      <w:pPr>
        <w:pStyle w:val="116"/>
        <w:rPr>
          <w:rFonts w:hint="eastAsia"/>
        </w:rPr>
      </w:pPr>
      <w:r>
        <w:rPr>
          <w:rFonts w:hint="eastAsia"/>
        </w:rPr>
        <w:t>餐厅布草、装饰可采用 “明代十二景”、“凤阳八景”、景区景观、朱元璋故事典故等背景氛围营造。</w:t>
      </w:r>
    </w:p>
    <w:p>
      <w:pPr>
        <w:pStyle w:val="48"/>
        <w:spacing w:before="156" w:after="156"/>
        <w:rPr>
          <w:rFonts w:hint="eastAsia"/>
        </w:rPr>
      </w:pPr>
      <w:r>
        <w:rPr>
          <w:rFonts w:hint="eastAsia"/>
        </w:rPr>
        <w:t>餐饮接待设施</w:t>
      </w:r>
    </w:p>
    <w:p>
      <w:pPr>
        <w:pStyle w:val="116"/>
      </w:pPr>
      <w:r>
        <w:rPr>
          <w:rFonts w:hint="eastAsia"/>
        </w:rPr>
        <w:t>餐厅装饰氛围、餐具、菜单、包间名称等能体现大明文化元素。</w:t>
      </w:r>
    </w:p>
    <w:p>
      <w:pPr>
        <w:pStyle w:val="69"/>
        <w:rPr>
          <w:rFonts w:hint="eastAsia"/>
        </w:rPr>
      </w:pPr>
      <w:r>
        <w:rPr>
          <w:rFonts w:hint="eastAsia"/>
        </w:rPr>
        <w:t>如“凤画”“花鼓”等。</w:t>
      </w:r>
    </w:p>
    <w:p>
      <w:pPr>
        <w:pStyle w:val="116"/>
        <w:rPr>
          <w:rFonts w:hint="eastAsia"/>
        </w:rPr>
      </w:pPr>
      <w:r>
        <w:rPr>
          <w:rFonts w:hint="eastAsia"/>
        </w:rPr>
        <w:t>菜肴具有突出的农家特色，并与当地的历史、文化相吻合，有不少于10种独家自创的特色菜肴，包括但不限于：御膳豆腐、珍珠翡翠白玉汤、鼓乡肘子、马娘娘菜等、洪武宴、千秋宴等宴席组合。</w:t>
      </w:r>
    </w:p>
    <w:p>
      <w:pPr>
        <w:pStyle w:val="116"/>
        <w:rPr>
          <w:rFonts w:hint="eastAsia"/>
        </w:rPr>
      </w:pPr>
      <w:r>
        <w:rPr>
          <w:rFonts w:hint="eastAsia"/>
        </w:rPr>
        <w:t>菜品应制成图片展示，“单一菜品”可展示菜品主料、辅料、调料、器皿、烹制工艺、出品名称、出品特点、出品寓意等相关文字说明；“宴席组合”应展示组成菜品、食谱特点、宴席寓意、宴席摆台中心装饰、宴席餐器皿等相关文字说明。</w:t>
      </w:r>
    </w:p>
    <w:p>
      <w:pPr>
        <w:pStyle w:val="48"/>
        <w:spacing w:before="156" w:after="156"/>
        <w:rPr>
          <w:rFonts w:hint="eastAsia"/>
        </w:rPr>
      </w:pPr>
      <w:r>
        <w:rPr>
          <w:rFonts w:hint="eastAsia"/>
        </w:rPr>
        <w:t>活动及娱乐设施</w:t>
      </w:r>
    </w:p>
    <w:p>
      <w:pPr>
        <w:pStyle w:val="29"/>
        <w:rPr>
          <w:rFonts w:hint="eastAsia"/>
        </w:rPr>
      </w:pPr>
      <w:r>
        <w:rPr>
          <w:rFonts w:hint="eastAsia"/>
        </w:rPr>
        <w:t>当地特色的农事参与、民俗文化或研学娱乐活动。包括但不限于：凤阳花鼓等特色演出活动、凤画创作、花鼓制作、玻璃器皿茶艺表演、采摘、手工制作、其他节庆活动等。</w:t>
      </w:r>
    </w:p>
    <w:p>
      <w:pPr>
        <w:pStyle w:val="48"/>
        <w:spacing w:before="156" w:after="156"/>
        <w:rPr>
          <w:rFonts w:hint="eastAsia"/>
        </w:rPr>
      </w:pPr>
      <w:r>
        <w:rPr>
          <w:rFonts w:hint="eastAsia"/>
        </w:rPr>
        <w:t>服务人员</w:t>
      </w:r>
    </w:p>
    <w:p>
      <w:pPr>
        <w:pStyle w:val="116"/>
      </w:pPr>
      <w:r>
        <w:rPr>
          <w:rFonts w:hint="eastAsia"/>
        </w:rPr>
        <w:t>服务人员应了解一些明代文化知识。</w:t>
      </w:r>
    </w:p>
    <w:p>
      <w:pPr>
        <w:pStyle w:val="69"/>
        <w:rPr>
          <w:rFonts w:hint="eastAsia"/>
        </w:rPr>
      </w:pPr>
      <w:r>
        <w:rPr>
          <w:rFonts w:hint="eastAsia"/>
        </w:rPr>
        <w:t>如：朱元璋典故、成语、名句等。</w:t>
      </w:r>
    </w:p>
    <w:p>
      <w:pPr>
        <w:pStyle w:val="116"/>
        <w:rPr>
          <w:rFonts w:hint="eastAsia"/>
        </w:rPr>
      </w:pPr>
      <w:r>
        <w:rPr>
          <w:rFonts w:hint="eastAsia"/>
        </w:rPr>
        <w:t>应统一着装，服装古朴大方。</w:t>
      </w:r>
    </w:p>
    <w:p>
      <w:pPr>
        <w:pStyle w:val="46"/>
        <w:rPr>
          <w:rFonts w:hint="eastAsia"/>
        </w:rPr>
      </w:pPr>
      <w:r>
        <w:rPr>
          <w:rFonts w:hint="eastAsia"/>
        </w:rPr>
        <w:t>儒林文化主题</w:t>
      </w:r>
    </w:p>
    <w:p>
      <w:pPr>
        <w:pStyle w:val="48"/>
        <w:spacing w:before="156" w:after="156"/>
        <w:rPr>
          <w:rFonts w:hint="eastAsia"/>
        </w:rPr>
      </w:pPr>
      <w:r>
        <w:rPr>
          <w:rFonts w:hint="eastAsia"/>
        </w:rPr>
        <w:t>建筑与环境</w:t>
      </w:r>
    </w:p>
    <w:p>
      <w:pPr>
        <w:pStyle w:val="116"/>
        <w:rPr>
          <w:rFonts w:hint="eastAsia"/>
        </w:rPr>
      </w:pPr>
      <w:r>
        <w:rPr>
          <w:rFonts w:hint="eastAsia"/>
        </w:rPr>
        <w:t>宜以明清或《儒林外史》小说中载有的园林、茶楼、贡院、戏台、牌坊等建筑风格，反映儒林文化特征。</w:t>
      </w:r>
    </w:p>
    <w:p>
      <w:pPr>
        <w:pStyle w:val="116"/>
        <w:rPr>
          <w:rFonts w:hint="eastAsia"/>
        </w:rPr>
      </w:pPr>
      <w:r>
        <w:rPr>
          <w:rFonts w:hint="eastAsia"/>
        </w:rPr>
        <w:t>环境应展示儒林文化整体形象，以吴敬梓塑像、图画等形式营造儒雅的氛围。</w:t>
      </w:r>
    </w:p>
    <w:p>
      <w:pPr>
        <w:pStyle w:val="48"/>
        <w:spacing w:before="156" w:after="156"/>
        <w:rPr>
          <w:rFonts w:hint="eastAsia"/>
        </w:rPr>
      </w:pPr>
      <w:r>
        <w:rPr>
          <w:rFonts w:hint="eastAsia"/>
        </w:rPr>
        <w:t>餐饮接待设施</w:t>
      </w:r>
    </w:p>
    <w:p>
      <w:pPr>
        <w:pStyle w:val="116"/>
        <w:rPr>
          <w:rFonts w:hint="eastAsia"/>
        </w:rPr>
      </w:pPr>
      <w:r>
        <w:rPr>
          <w:rFonts w:hint="eastAsia"/>
        </w:rPr>
        <w:t>餐厅装饰氛围、餐具菜单、包间名称、茶具容器、碗具容器等能体现儒林文化元素。宜以《儒林外史》小说特色鲜明的人物形象等为图案。</w:t>
      </w:r>
    </w:p>
    <w:p>
      <w:pPr>
        <w:pStyle w:val="116"/>
        <w:rPr>
          <w:rFonts w:hint="eastAsia"/>
        </w:rPr>
      </w:pPr>
      <w:r>
        <w:rPr>
          <w:rFonts w:hint="eastAsia"/>
        </w:rPr>
        <w:t>餐厅命名应使用《儒林外史》系列故事或人物名等命名。</w:t>
      </w:r>
    </w:p>
    <w:p>
      <w:pPr>
        <w:pStyle w:val="116"/>
        <w:rPr>
          <w:rFonts w:hint="eastAsia"/>
        </w:rPr>
      </w:pPr>
      <w:r>
        <w:rPr>
          <w:rFonts w:hint="eastAsia"/>
        </w:rPr>
        <w:t>餐厅布草、装饰、牌匾突出儒林文化，立体展现《儒林外史》中的经典故事场景、人物。</w:t>
      </w:r>
    </w:p>
    <w:p>
      <w:pPr>
        <w:pStyle w:val="116"/>
        <w:rPr>
          <w:rFonts w:hint="eastAsia"/>
        </w:rPr>
      </w:pPr>
      <w:r>
        <w:rPr>
          <w:rFonts w:hint="eastAsia"/>
        </w:rPr>
        <w:t>菜肴具有突出的农家特色，并与当地的历史、文化相吻合，有不少于10种独家自创的特色菜肴，包括但不限于：儒林宴系列菜肴、全椒八大碗、管坝状元牛肉等。</w:t>
      </w:r>
    </w:p>
    <w:p>
      <w:pPr>
        <w:pStyle w:val="116"/>
        <w:rPr>
          <w:rFonts w:hint="eastAsia"/>
        </w:rPr>
      </w:pPr>
      <w:r>
        <w:rPr>
          <w:rFonts w:hint="eastAsia"/>
        </w:rPr>
        <w:t>菜品应制成图片展示，“单一菜品”可展示菜品主料、辅料、调料、器皿、烹制工艺、出品名称、出品特点、出品寓意等相关文字说明；“宴席组合”应展示组成菜品、食谱特点、宴席寓意、宴席摆台中心装饰、宴席餐器皿等相关文字说明。</w:t>
      </w:r>
    </w:p>
    <w:p>
      <w:pPr>
        <w:pStyle w:val="48"/>
        <w:spacing w:before="156" w:after="156"/>
        <w:rPr>
          <w:rFonts w:hint="eastAsia"/>
        </w:rPr>
      </w:pPr>
      <w:r>
        <w:rPr>
          <w:rFonts w:hint="eastAsia"/>
        </w:rPr>
        <w:t>活动及娱乐设施</w:t>
      </w:r>
    </w:p>
    <w:p>
      <w:pPr>
        <w:pStyle w:val="29"/>
        <w:rPr>
          <w:rFonts w:hint="eastAsia"/>
        </w:rPr>
      </w:pPr>
      <w:r>
        <w:rPr>
          <w:rFonts w:hint="eastAsia"/>
        </w:rPr>
        <w:t>当地特色的农事参与、民俗文化或研学娱乐活动。包括但不限于：儒林外史人物微雕、剪纸、采摘等。</w:t>
      </w:r>
    </w:p>
    <w:p>
      <w:pPr>
        <w:pStyle w:val="48"/>
        <w:spacing w:before="156" w:after="156"/>
        <w:rPr>
          <w:rFonts w:hint="eastAsia"/>
        </w:rPr>
      </w:pPr>
      <w:r>
        <w:rPr>
          <w:rFonts w:hint="eastAsia"/>
        </w:rPr>
        <w:t>服务人员</w:t>
      </w:r>
    </w:p>
    <w:p>
      <w:pPr>
        <w:pStyle w:val="116"/>
        <w:rPr>
          <w:rFonts w:hint="eastAsia"/>
        </w:rPr>
      </w:pPr>
      <w:r>
        <w:rPr>
          <w:rFonts w:hint="eastAsia"/>
        </w:rPr>
        <w:t>服务人员应了解一些儒林文化知识，及《儒林外史》的经典故事章节。</w:t>
      </w:r>
    </w:p>
    <w:p>
      <w:pPr>
        <w:pStyle w:val="116"/>
        <w:rPr>
          <w:rFonts w:hint="eastAsia"/>
        </w:rPr>
      </w:pPr>
      <w:r>
        <w:rPr>
          <w:rFonts w:hint="eastAsia"/>
        </w:rPr>
        <w:t>应统一着装，服装古朴大方。</w:t>
      </w:r>
    </w:p>
    <w:p>
      <w:pPr>
        <w:pStyle w:val="46"/>
        <w:rPr>
          <w:rFonts w:hint="eastAsia"/>
        </w:rPr>
      </w:pPr>
      <w:r>
        <w:rPr>
          <w:rFonts w:hint="eastAsia"/>
        </w:rPr>
        <w:t>孝文化主题</w:t>
      </w:r>
    </w:p>
    <w:p>
      <w:pPr>
        <w:pStyle w:val="48"/>
        <w:spacing w:before="156" w:after="156"/>
        <w:rPr>
          <w:rFonts w:hint="eastAsia"/>
        </w:rPr>
      </w:pPr>
      <w:r>
        <w:rPr>
          <w:rFonts w:hint="eastAsia"/>
        </w:rPr>
        <w:t>建筑与环境</w:t>
      </w:r>
    </w:p>
    <w:p>
      <w:pPr>
        <w:pStyle w:val="116"/>
        <w:rPr>
          <w:rFonts w:hint="eastAsia"/>
        </w:rPr>
      </w:pPr>
      <w:r>
        <w:rPr>
          <w:rFonts w:hint="eastAsia"/>
        </w:rPr>
        <w:t>建筑风格以传统徽派或苏式民居建筑风格为基调，体现皖东天长独特地域文化。</w:t>
      </w:r>
    </w:p>
    <w:p>
      <w:pPr>
        <w:pStyle w:val="116"/>
        <w:rPr>
          <w:rFonts w:hint="eastAsia"/>
        </w:rPr>
      </w:pPr>
      <w:r>
        <w:rPr>
          <w:rFonts w:hint="eastAsia"/>
        </w:rPr>
        <w:t>环境应使用声像播放天长孝文化节系列活动，及其他反映孝亲文化的影视戏剧作品。</w:t>
      </w:r>
    </w:p>
    <w:p>
      <w:pPr>
        <w:pStyle w:val="48"/>
        <w:spacing w:before="156" w:after="156"/>
        <w:rPr>
          <w:rFonts w:hint="eastAsia"/>
        </w:rPr>
      </w:pPr>
      <w:r>
        <w:rPr>
          <w:rFonts w:hint="eastAsia"/>
        </w:rPr>
        <w:t>餐饮接待设施</w:t>
      </w:r>
    </w:p>
    <w:p>
      <w:pPr>
        <w:pStyle w:val="116"/>
        <w:rPr>
          <w:rFonts w:hint="eastAsia"/>
        </w:rPr>
      </w:pPr>
      <w:r>
        <w:rPr>
          <w:rFonts w:hint="eastAsia"/>
        </w:rPr>
        <w:t>餐厅装饰氛围、餐具菜单、包间名称等能体现孝文化元素。茶具容器、碗具容器应印制“松、竹、梅、兰”，突出传统儒家文化；针对寿宴的餐具应使用印制“福禄寿喜”图案。</w:t>
      </w:r>
    </w:p>
    <w:p>
      <w:pPr>
        <w:pStyle w:val="116"/>
        <w:rPr>
          <w:rFonts w:hint="eastAsia"/>
        </w:rPr>
      </w:pPr>
      <w:r>
        <w:rPr>
          <w:rFonts w:hint="eastAsia"/>
        </w:rPr>
        <w:t>外观及餐厅设计应以中国古代二十四孝之一的天长秦栏人朱寿昌弃官寻母事迹为内涵，以“福禄寿喜”的形式体现“千秋福地、地久天长”文化元素。</w:t>
      </w:r>
    </w:p>
    <w:p>
      <w:pPr>
        <w:pStyle w:val="116"/>
        <w:rPr>
          <w:rFonts w:hint="eastAsia"/>
        </w:rPr>
      </w:pPr>
      <w:r>
        <w:rPr>
          <w:rFonts w:hint="eastAsia"/>
        </w:rPr>
        <w:t>餐厅命名应含有孝文化元素。</w:t>
      </w:r>
    </w:p>
    <w:p>
      <w:pPr>
        <w:pStyle w:val="116"/>
        <w:rPr>
          <w:rFonts w:hint="eastAsia"/>
        </w:rPr>
      </w:pPr>
      <w:r>
        <w:rPr>
          <w:rFonts w:hint="eastAsia"/>
        </w:rPr>
        <w:t>公共区域和走廊应使用电子屏滚动、书画、图片系统展示经典名著释孝、古代贤达论孝、近代伟人论孝、社会主义核心价值观与孝、当代天长孝子等。</w:t>
      </w:r>
    </w:p>
    <w:p>
      <w:pPr>
        <w:pStyle w:val="116"/>
        <w:rPr>
          <w:rFonts w:hint="eastAsia"/>
        </w:rPr>
      </w:pPr>
      <w:r>
        <w:rPr>
          <w:rFonts w:hint="eastAsia"/>
        </w:rPr>
        <w:t>客房布草、装饰、牌匾等可采用千秋孝亲赋、朱寿昌千里寻母生平事迹等营造氛围。</w:t>
      </w:r>
    </w:p>
    <w:p>
      <w:pPr>
        <w:pStyle w:val="116"/>
        <w:rPr>
          <w:rFonts w:hint="eastAsia"/>
        </w:rPr>
      </w:pPr>
      <w:r>
        <w:rPr>
          <w:rFonts w:hint="eastAsia"/>
        </w:rPr>
        <w:t>菜肴具有突出的农家特色，并与当地的历史、文化相吻合，有不少于10种独家自创的特色菜肴，包括但不限于：巴子牛肉、樱桃肉、梅干菜烧黑鱼、天长卤鹅、千秋宴系列菜肴、孝母饼等。</w:t>
      </w:r>
    </w:p>
    <w:p>
      <w:pPr>
        <w:pStyle w:val="116"/>
        <w:rPr>
          <w:rFonts w:hint="eastAsia"/>
        </w:rPr>
      </w:pPr>
      <w:r>
        <w:rPr>
          <w:rFonts w:hint="eastAsia"/>
        </w:rPr>
        <w:t>菜品应制成图片展示，“单一菜品”可展示菜品主料、辅料、调料、器皿、烹制工艺、出品名称、出品特点、出品寓意等相关文字说明；“宴席组合”应展示组成菜品、食谱特点、宴席寓意、宴席摆台中心装饰、宴席餐器皿等相关文字说明。</w:t>
      </w:r>
    </w:p>
    <w:p>
      <w:pPr>
        <w:pStyle w:val="116"/>
        <w:rPr>
          <w:rFonts w:hint="eastAsia"/>
        </w:rPr>
      </w:pPr>
      <w:r>
        <w:rPr>
          <w:rFonts w:hint="eastAsia"/>
        </w:rPr>
        <w:t>应设置农产品展示区，展示芡实、大米、土鸡蛋、及其他特色水产品等。</w:t>
      </w:r>
    </w:p>
    <w:p>
      <w:pPr>
        <w:pStyle w:val="116"/>
        <w:rPr>
          <w:rFonts w:hint="eastAsia"/>
        </w:rPr>
      </w:pPr>
      <w:r>
        <w:rPr>
          <w:rFonts w:hint="eastAsia"/>
        </w:rPr>
        <w:t>应设置特色菜肴展示区，展示主打地方特色鲜明菜品。</w:t>
      </w:r>
    </w:p>
    <w:p>
      <w:pPr>
        <w:pStyle w:val="48"/>
        <w:spacing w:before="156" w:after="156"/>
        <w:rPr>
          <w:rFonts w:hint="eastAsia"/>
        </w:rPr>
      </w:pPr>
      <w:r>
        <w:rPr>
          <w:rFonts w:hint="eastAsia"/>
        </w:rPr>
        <w:t>活动及娱乐设施</w:t>
      </w:r>
    </w:p>
    <w:p>
      <w:pPr>
        <w:pStyle w:val="29"/>
        <w:rPr>
          <w:rFonts w:hint="eastAsia"/>
        </w:rPr>
      </w:pPr>
      <w:r>
        <w:rPr>
          <w:rFonts w:hint="eastAsia"/>
        </w:rPr>
        <w:t>当地特色的农事参与、民俗文化或研学娱乐活动。包括但不限于：孝子微雕制作、大鼓书、垂钓、采摘等。</w:t>
      </w:r>
    </w:p>
    <w:p>
      <w:pPr>
        <w:pStyle w:val="48"/>
        <w:spacing w:before="156" w:after="156"/>
        <w:rPr>
          <w:rFonts w:hint="eastAsia"/>
        </w:rPr>
      </w:pPr>
      <w:r>
        <w:rPr>
          <w:rFonts w:hint="eastAsia"/>
        </w:rPr>
        <w:t>服务人员</w:t>
      </w:r>
    </w:p>
    <w:p>
      <w:pPr>
        <w:pStyle w:val="116"/>
        <w:rPr>
          <w:rFonts w:hint="eastAsia"/>
        </w:rPr>
      </w:pPr>
      <w:r>
        <w:rPr>
          <w:rFonts w:hint="eastAsia"/>
        </w:rPr>
        <w:t>服务人员应了解一些孝文化知识，及《二十四孝》中故事情节。</w:t>
      </w:r>
    </w:p>
    <w:p>
      <w:pPr>
        <w:pStyle w:val="116"/>
        <w:rPr>
          <w:rFonts w:hint="eastAsia"/>
        </w:rPr>
      </w:pPr>
      <w:r>
        <w:rPr>
          <w:rFonts w:hint="eastAsia"/>
        </w:rPr>
        <w:t>统一着装，服装古朴大方。</w:t>
      </w:r>
    </w:p>
    <w:p>
      <w:pPr>
        <w:pStyle w:val="45"/>
        <w:rPr>
          <w:rFonts w:hint="eastAsia"/>
        </w:rPr>
      </w:pPr>
      <w:r>
        <w:rPr>
          <w:rFonts w:hint="eastAsia"/>
        </w:rPr>
        <w:t>申报及管理</w:t>
      </w:r>
    </w:p>
    <w:p>
      <w:pPr>
        <w:pStyle w:val="46"/>
        <w:rPr>
          <w:rFonts w:hint="eastAsia"/>
        </w:rPr>
      </w:pPr>
      <w:r>
        <w:rPr>
          <w:rFonts w:hint="eastAsia"/>
        </w:rPr>
        <w:t>申报</w:t>
      </w:r>
    </w:p>
    <w:p>
      <w:pPr>
        <w:pStyle w:val="29"/>
        <w:rPr>
          <w:rFonts w:hint="eastAsia"/>
        </w:rPr>
      </w:pPr>
      <w:r>
        <w:rPr>
          <w:rFonts w:hint="eastAsia"/>
        </w:rPr>
        <w:t>申报皖东农家乐应取得安徽省四星级以上农家乐称号，评定采取业主自愿原则，由农家乐经营户向所在地县（市、区）文化和旅游局提出申请，逐级申报。县（市、区）进行初审，合格后，向滁州市文化和旅游局申报。</w:t>
      </w:r>
    </w:p>
    <w:p>
      <w:pPr>
        <w:pStyle w:val="46"/>
        <w:rPr>
          <w:rFonts w:hint="eastAsia"/>
        </w:rPr>
      </w:pPr>
      <w:r>
        <w:rPr>
          <w:rFonts w:hint="eastAsia"/>
        </w:rPr>
        <w:t>管理</w:t>
      </w:r>
    </w:p>
    <w:p>
      <w:pPr>
        <w:pStyle w:val="29"/>
        <w:rPr>
          <w:rFonts w:hint="eastAsia"/>
        </w:rPr>
      </w:pPr>
      <w:r>
        <w:rPr>
          <w:rFonts w:hint="eastAsia"/>
        </w:rPr>
        <w:t>皖东农家乐评定复核3年一次。有效期内实行动态性监测。监测不合格的农家乐予以限期整改、降级或取消资质。被取消资质的农家乐，自取消之日起两年后方可重新申报。</w:t>
      </w:r>
    </w:p>
    <w:p>
      <w:pPr>
        <w:pStyle w:val="45"/>
        <w:rPr>
          <w:rFonts w:hint="eastAsia"/>
        </w:rPr>
      </w:pPr>
      <w:r>
        <w:rPr>
          <w:rFonts w:hint="eastAsia"/>
        </w:rPr>
        <w:t>分值及评定</w:t>
      </w:r>
    </w:p>
    <w:p>
      <w:pPr>
        <w:pStyle w:val="46"/>
        <w:rPr>
          <w:rFonts w:hint="eastAsia"/>
        </w:rPr>
      </w:pPr>
      <w:r>
        <w:rPr>
          <w:rFonts w:hint="eastAsia"/>
        </w:rPr>
        <w:t>分值</w:t>
      </w:r>
    </w:p>
    <w:p>
      <w:pPr>
        <w:pStyle w:val="29"/>
      </w:pPr>
      <w:r>
        <w:rPr>
          <w:rFonts w:hint="eastAsia"/>
        </w:rPr>
        <w:t>总分 1000</w:t>
      </w:r>
      <w:r>
        <w:t xml:space="preserve"> </w:t>
      </w:r>
      <w:r>
        <w:rPr>
          <w:rFonts w:hint="eastAsia"/>
        </w:rPr>
        <w:t>分，其中基本分 600</w:t>
      </w:r>
      <w:r>
        <w:t xml:space="preserve"> </w:t>
      </w:r>
      <w:r>
        <w:rPr>
          <w:rFonts w:hint="eastAsia"/>
        </w:rPr>
        <w:t>分、特色分 300</w:t>
      </w:r>
      <w:r>
        <w:t xml:space="preserve"> </w:t>
      </w:r>
      <w:r>
        <w:rPr>
          <w:rFonts w:hint="eastAsia"/>
        </w:rPr>
        <w:t>分、加分项 100</w:t>
      </w:r>
      <w:r>
        <w:t xml:space="preserve"> </w:t>
      </w:r>
      <w:r>
        <w:rPr>
          <w:rFonts w:hint="eastAsia"/>
        </w:rPr>
        <w:t xml:space="preserve">分，分值分配见附录 </w:t>
      </w:r>
      <w:r>
        <w:t>A</w:t>
      </w:r>
      <w:r>
        <w:rPr>
          <w:rFonts w:hint="eastAsia"/>
        </w:rPr>
        <w:t>。</w:t>
      </w:r>
    </w:p>
    <w:p>
      <w:pPr>
        <w:pStyle w:val="29"/>
        <w:rPr>
          <w:rFonts w:hint="eastAsia"/>
        </w:rPr>
      </w:pPr>
      <w:r>
        <w:rPr>
          <w:rFonts w:hint="eastAsia"/>
        </w:rPr>
        <w:t>皖东农家乐 600</w:t>
      </w:r>
      <w:r>
        <w:t xml:space="preserve"> </w:t>
      </w:r>
      <w:r>
        <w:rPr>
          <w:rFonts w:hint="eastAsia"/>
        </w:rPr>
        <w:t>分以上，其中，基本分 400</w:t>
      </w:r>
      <w:r>
        <w:t xml:space="preserve"> </w:t>
      </w:r>
      <w:r>
        <w:rPr>
          <w:rFonts w:hint="eastAsia"/>
        </w:rPr>
        <w:t>分以上；精品皖东农家乐 800</w:t>
      </w:r>
      <w:r>
        <w:t xml:space="preserve"> </w:t>
      </w:r>
      <w:r>
        <w:rPr>
          <w:rFonts w:hint="eastAsia"/>
        </w:rPr>
        <w:t>分以上，其中，基本分 500</w:t>
      </w:r>
      <w:r>
        <w:t xml:space="preserve"> </w:t>
      </w:r>
      <w:r>
        <w:rPr>
          <w:rFonts w:hint="eastAsia"/>
        </w:rPr>
        <w:t>分以上。</w:t>
      </w:r>
    </w:p>
    <w:p>
      <w:pPr>
        <w:pStyle w:val="46"/>
        <w:rPr>
          <w:rFonts w:hint="eastAsia"/>
        </w:rPr>
      </w:pPr>
      <w:r>
        <w:rPr>
          <w:rFonts w:hint="eastAsia"/>
        </w:rPr>
        <w:t>评定</w:t>
      </w:r>
    </w:p>
    <w:p>
      <w:pPr>
        <w:pStyle w:val="29"/>
        <w:rPr>
          <w:rFonts w:hint="eastAsia"/>
        </w:rPr>
      </w:pPr>
      <w:r>
        <w:rPr>
          <w:rFonts w:hint="eastAsia"/>
        </w:rPr>
        <w:t>滁州市文化和旅游局对县（市、区）符合申报条件的农家乐经营单位进行材料审核，实地勘察，综合评定，拟定初步评定意见，由市文化和旅游局联合相关市直部门批准。</w:t>
      </w:r>
    </w:p>
    <w:p>
      <w:pPr>
        <w:pStyle w:val="45"/>
        <w:rPr>
          <w:rFonts w:hint="eastAsia"/>
        </w:rPr>
      </w:pPr>
      <w:r>
        <w:rPr>
          <w:rFonts w:hint="eastAsia"/>
        </w:rPr>
        <w:t>退出机制</w:t>
      </w:r>
    </w:p>
    <w:p>
      <w:pPr>
        <w:pStyle w:val="29"/>
        <w:rPr>
          <w:rFonts w:hint="eastAsia"/>
        </w:rPr>
      </w:pPr>
      <w:r>
        <w:rPr>
          <w:rFonts w:hint="eastAsia"/>
        </w:rPr>
        <w:t>皖东农家乐评定实行退出机制，经营过程中出现以下情况将取消资质：</w:t>
      </w:r>
    </w:p>
    <w:p>
      <w:pPr>
        <w:pStyle w:val="65"/>
        <w:rPr>
          <w:rFonts w:hint="eastAsia"/>
        </w:rPr>
      </w:pPr>
      <w:r>
        <w:rPr>
          <w:rFonts w:hint="eastAsia"/>
        </w:rPr>
        <w:t>发生相关违法违规事件的；</w:t>
      </w:r>
    </w:p>
    <w:p>
      <w:pPr>
        <w:pStyle w:val="65"/>
        <w:rPr>
          <w:rFonts w:hint="eastAsia"/>
        </w:rPr>
      </w:pPr>
      <w:r>
        <w:rPr>
          <w:rFonts w:hint="eastAsia"/>
        </w:rPr>
        <w:t>出现卫生、消防、安全等责任事故的；</w:t>
      </w:r>
    </w:p>
    <w:p>
      <w:pPr>
        <w:pStyle w:val="65"/>
        <w:rPr>
          <w:rFonts w:hint="eastAsia"/>
        </w:rPr>
      </w:pPr>
      <w:r>
        <w:rPr>
          <w:rFonts w:hint="eastAsia"/>
        </w:rPr>
        <w:t>发生法律纠纷、经济损失、社会负面影响等重大投诉的；</w:t>
      </w:r>
    </w:p>
    <w:p>
      <w:pPr>
        <w:pStyle w:val="65"/>
      </w:pPr>
      <w:r>
        <w:rPr>
          <w:rFonts w:hint="eastAsia"/>
        </w:rPr>
        <w:t>发生造成社会恶劣影响的其他事件；</w:t>
      </w:r>
    </w:p>
    <w:p>
      <w:pPr>
        <w:pStyle w:val="65"/>
        <w:rPr>
          <w:rFonts w:hint="eastAsia"/>
        </w:rPr>
      </w:pPr>
      <w:r>
        <w:rPr>
          <w:rFonts w:hint="eastAsia"/>
        </w:rPr>
        <w:t>日常运营管理达不到或不符合相应标准要求的。</w:t>
      </w:r>
    </w:p>
    <w:p>
      <w:pPr>
        <w:pStyle w:val="101"/>
      </w:pPr>
    </w:p>
    <w:p>
      <w:pPr>
        <w:pStyle w:val="90"/>
      </w:pPr>
    </w:p>
    <w:p>
      <w:pPr>
        <w:pStyle w:val="88"/>
        <w:rPr>
          <w:rFonts w:hint="eastAsia"/>
        </w:rPr>
      </w:pPr>
      <w:r>
        <w:br w:type="textWrapping"/>
      </w:r>
      <w:r>
        <w:rPr>
          <w:rFonts w:hint="eastAsia"/>
        </w:rPr>
        <w:t>（规范性附录）</w:t>
      </w:r>
      <w:r>
        <w:br w:type="textWrapping"/>
      </w:r>
      <w:r>
        <w:rPr>
          <w:rFonts w:hint="eastAsia"/>
        </w:rPr>
        <w:t>皖东农家乐评分表</w:t>
      </w:r>
    </w:p>
    <w:p>
      <w:pPr>
        <w:pStyle w:val="29"/>
      </w:pPr>
      <w:r>
        <w:rPr>
          <w:rFonts w:hint="eastAsia"/>
        </w:rPr>
        <w:t xml:space="preserve">皖东农家乐评分表见表 </w:t>
      </w:r>
      <w:r>
        <w:t>A.1</w:t>
      </w:r>
      <w:r>
        <w:rPr>
          <w:rFonts w:hint="eastAsia"/>
        </w:rPr>
        <w:t>。</w:t>
      </w:r>
    </w:p>
    <w:p>
      <w:pPr>
        <w:pStyle w:val="91"/>
        <w:spacing w:before="156" w:after="156"/>
      </w:pPr>
      <w:r>
        <w:rPr>
          <w:rFonts w:hint="eastAsia"/>
        </w:rPr>
        <w:t>皖东农家乐评分表</w:t>
      </w:r>
    </w:p>
    <w:tbl>
      <w:tblPr>
        <w:tblStyle w:val="43"/>
        <w:tblW w:w="957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9"/>
        <w:gridCol w:w="6476"/>
        <w:gridCol w:w="750"/>
        <w:gridCol w:w="735"/>
        <w:gridCol w:w="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序号</w:t>
            </w:r>
          </w:p>
        </w:tc>
        <w:tc>
          <w:tcPr>
            <w:tcW w:w="6476" w:type="dxa"/>
            <w:noWrap w:val="0"/>
            <w:vAlign w:val="center"/>
          </w:tcPr>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检查项目</w:t>
            </w:r>
          </w:p>
        </w:tc>
        <w:tc>
          <w:tcPr>
            <w:tcW w:w="750" w:type="dxa"/>
            <w:noWrap w:val="0"/>
            <w:vAlign w:val="center"/>
          </w:tcPr>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最高</w:t>
            </w:r>
          </w:p>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得分</w:t>
            </w:r>
          </w:p>
        </w:tc>
        <w:tc>
          <w:tcPr>
            <w:tcW w:w="735" w:type="dxa"/>
            <w:noWrap w:val="0"/>
            <w:vAlign w:val="center"/>
          </w:tcPr>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分项</w:t>
            </w:r>
          </w:p>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计分</w:t>
            </w:r>
          </w:p>
        </w:tc>
        <w:tc>
          <w:tcPr>
            <w:tcW w:w="651" w:type="dxa"/>
            <w:noWrap w:val="0"/>
            <w:vAlign w:val="center"/>
          </w:tcPr>
          <w:p>
            <w:pPr>
              <w:spacing w:line="240" w:lineRule="exact"/>
              <w:jc w:val="center"/>
              <w:rPr>
                <w:rFonts w:ascii="黑体" w:hAnsi="黑体" w:eastAsia="黑体"/>
                <w:color w:val="000000"/>
                <w:sz w:val="18"/>
                <w:szCs w:val="18"/>
              </w:rPr>
            </w:pPr>
            <w:r>
              <w:rPr>
                <w:rFonts w:hint="eastAsia" w:ascii="黑体" w:hAnsi="黑体" w:eastAsia="黑体"/>
                <w:color w:val="000000"/>
                <w:sz w:val="18"/>
                <w:szCs w:val="18"/>
              </w:rPr>
              <w:t>分档</w:t>
            </w:r>
          </w:p>
          <w:p>
            <w:pPr>
              <w:spacing w:line="240" w:lineRule="exact"/>
              <w:jc w:val="center"/>
              <w:rPr>
                <w:rFonts w:ascii="黑体" w:hAnsi="黑体" w:eastAsia="黑体" w:cs="黑体"/>
                <w:color w:val="000000"/>
                <w:sz w:val="18"/>
                <w:szCs w:val="18"/>
              </w:rPr>
            </w:pPr>
            <w:r>
              <w:rPr>
                <w:rFonts w:hint="eastAsia" w:ascii="黑体" w:hAnsi="黑体" w:eastAsia="黑体"/>
                <w:color w:val="000000"/>
                <w:sz w:val="18"/>
                <w:szCs w:val="18"/>
              </w:rPr>
              <w:t>计分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7435" w:type="dxa"/>
            <w:gridSpan w:val="2"/>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1.必备条件</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600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经营要求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60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所在乡镇（街道）无高发地方病，3年内无重大疫情。</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1.1.2</w:t>
            </w:r>
          </w:p>
        </w:tc>
        <w:tc>
          <w:tcPr>
            <w:tcW w:w="6476" w:type="dxa"/>
            <w:noWrap w:val="0"/>
            <w:vAlign w:val="center"/>
          </w:tcPr>
          <w:p>
            <w:pPr>
              <w:pStyle w:val="48"/>
              <w:numPr>
                <w:ilvl w:val="2"/>
                <w:numId w:val="0"/>
              </w:numPr>
              <w:spacing w:before="0" w:beforeLines="0" w:after="0" w:afterLines="0" w:line="300" w:lineRule="exact"/>
              <w:jc w:val="both"/>
              <w:outlineLvl w:val="9"/>
              <w:rPr>
                <w:rFonts w:ascii="宋体" w:hAnsi="宋体" w:eastAsia="宋体" w:cs="等线"/>
                <w:color w:val="000000"/>
                <w:sz w:val="18"/>
                <w:szCs w:val="18"/>
              </w:rPr>
            </w:pPr>
            <w:r>
              <w:rPr>
                <w:rFonts w:hint="eastAsia" w:ascii="宋体" w:hAnsi="宋体" w:eastAsia="宋体" w:cs="等线"/>
                <w:sz w:val="18"/>
                <w:szCs w:val="18"/>
              </w:rPr>
              <w:t>经营应依法取得当地政府要求的相关证照，达到正常营业要求。</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正常经营1年以上。</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1.1.4</w:t>
            </w:r>
          </w:p>
        </w:tc>
        <w:tc>
          <w:tcPr>
            <w:tcW w:w="6476" w:type="dxa"/>
            <w:noWrap w:val="0"/>
            <w:vAlign w:val="center"/>
          </w:tcPr>
          <w:p>
            <w:pPr>
              <w:pStyle w:val="4"/>
              <w:numPr>
                <w:ilvl w:val="2"/>
                <w:numId w:val="0"/>
              </w:numPr>
              <w:spacing w:before="0" w:after="0" w:line="300" w:lineRule="exact"/>
              <w:rPr>
                <w:rFonts w:ascii="宋体" w:hAnsi="宋体" w:cs="等线"/>
                <w:color w:val="000000"/>
                <w:sz w:val="18"/>
                <w:szCs w:val="18"/>
              </w:rPr>
            </w:pPr>
            <w:r>
              <w:rPr>
                <w:rFonts w:hint="eastAsia" w:ascii="宋体" w:hAnsi="宋体"/>
                <w:sz w:val="18"/>
                <w:szCs w:val="18"/>
              </w:rPr>
              <w:t>生活用水（包括自备水源和二次供水）应符合 GB</w:t>
            </w:r>
            <w:r>
              <w:rPr>
                <w:rFonts w:ascii="宋体" w:hAnsi="宋体"/>
                <w:sz w:val="18"/>
                <w:szCs w:val="18"/>
              </w:rPr>
              <w:t xml:space="preserve"> </w:t>
            </w:r>
            <w:r>
              <w:rPr>
                <w:rFonts w:hint="eastAsia" w:ascii="宋体" w:hAnsi="宋体"/>
                <w:sz w:val="18"/>
                <w:szCs w:val="18"/>
              </w:rPr>
              <w:t>5749 要求。</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1.1.5</w:t>
            </w:r>
          </w:p>
        </w:tc>
        <w:tc>
          <w:tcPr>
            <w:tcW w:w="6476" w:type="dxa"/>
            <w:noWrap w:val="0"/>
            <w:vAlign w:val="center"/>
          </w:tcPr>
          <w:p>
            <w:pPr>
              <w:pStyle w:val="4"/>
              <w:numPr>
                <w:ilvl w:val="2"/>
                <w:numId w:val="0"/>
              </w:numPr>
              <w:spacing w:before="0" w:after="0" w:line="300" w:lineRule="exact"/>
              <w:rPr>
                <w:rFonts w:ascii="宋体" w:hAnsi="宋体" w:cs="等线"/>
                <w:color w:val="000000"/>
                <w:sz w:val="18"/>
                <w:szCs w:val="18"/>
              </w:rPr>
            </w:pPr>
            <w:r>
              <w:rPr>
                <w:rFonts w:hint="eastAsia" w:ascii="宋体" w:hAnsi="宋体"/>
                <w:sz w:val="18"/>
                <w:szCs w:val="18"/>
              </w:rPr>
              <w:t>食品来源、加工、销售应符合 GB</w:t>
            </w:r>
            <w:r>
              <w:rPr>
                <w:rFonts w:ascii="宋体" w:hAnsi="宋体"/>
                <w:sz w:val="18"/>
                <w:szCs w:val="18"/>
              </w:rPr>
              <w:t xml:space="preserve"> </w:t>
            </w:r>
            <w:r>
              <w:rPr>
                <w:rFonts w:hint="eastAsia" w:ascii="宋体" w:hAnsi="宋体"/>
                <w:sz w:val="18"/>
                <w:szCs w:val="18"/>
              </w:rPr>
              <w:t>14881 要求</w:t>
            </w:r>
            <w:r>
              <w:rPr>
                <w:rFonts w:hint="eastAsia" w:ascii="宋体" w:hAnsi="宋体" w:cs="等线"/>
                <w:sz w:val="18"/>
                <w:szCs w:val="18"/>
              </w:rPr>
              <w:t>。</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1.1.6</w:t>
            </w:r>
          </w:p>
        </w:tc>
        <w:tc>
          <w:tcPr>
            <w:tcW w:w="6476" w:type="dxa"/>
            <w:noWrap w:val="0"/>
            <w:vAlign w:val="center"/>
          </w:tcPr>
          <w:p>
            <w:pPr>
              <w:pStyle w:val="4"/>
              <w:numPr>
                <w:ilvl w:val="2"/>
                <w:numId w:val="0"/>
              </w:numPr>
              <w:spacing w:before="0" w:after="0" w:line="300" w:lineRule="exact"/>
              <w:rPr>
                <w:rFonts w:ascii="宋体" w:hAnsi="宋体" w:cs="等线"/>
                <w:sz w:val="18"/>
                <w:szCs w:val="18"/>
              </w:rPr>
            </w:pPr>
            <w:r>
              <w:rPr>
                <w:rFonts w:hint="eastAsia" w:ascii="宋体" w:hAnsi="宋体"/>
                <w:sz w:val="18"/>
                <w:szCs w:val="18"/>
              </w:rPr>
              <w:t>卫生条件应符合 GB</w:t>
            </w:r>
            <w:r>
              <w:rPr>
                <w:rFonts w:ascii="宋体" w:hAnsi="宋体"/>
                <w:sz w:val="18"/>
                <w:szCs w:val="18"/>
              </w:rPr>
              <w:t xml:space="preserve"> 1</w:t>
            </w:r>
            <w:r>
              <w:rPr>
                <w:rFonts w:hint="eastAsia" w:ascii="宋体" w:hAnsi="宋体"/>
                <w:sz w:val="18"/>
                <w:szCs w:val="18"/>
              </w:rPr>
              <w:t>6153、GB</w:t>
            </w:r>
            <w:r>
              <w:rPr>
                <w:rFonts w:ascii="宋体" w:hAnsi="宋体"/>
                <w:sz w:val="18"/>
                <w:szCs w:val="18"/>
              </w:rPr>
              <w:t xml:space="preserve"> </w:t>
            </w:r>
            <w:r>
              <w:rPr>
                <w:rFonts w:hint="eastAsia" w:ascii="宋体" w:hAnsi="宋体"/>
                <w:sz w:val="18"/>
                <w:szCs w:val="18"/>
              </w:rPr>
              <w:t>14934、GB</w:t>
            </w:r>
            <w:r>
              <w:rPr>
                <w:rFonts w:ascii="宋体" w:hAnsi="宋体"/>
                <w:sz w:val="18"/>
                <w:szCs w:val="18"/>
              </w:rPr>
              <w:t xml:space="preserve"> </w:t>
            </w:r>
            <w:r>
              <w:rPr>
                <w:rFonts w:hint="eastAsia" w:ascii="宋体" w:hAnsi="宋体"/>
                <w:sz w:val="18"/>
                <w:szCs w:val="18"/>
              </w:rPr>
              <w:t>9663、GB/T</w:t>
            </w:r>
            <w:r>
              <w:rPr>
                <w:rFonts w:ascii="宋体" w:hAnsi="宋体"/>
                <w:sz w:val="18"/>
                <w:szCs w:val="18"/>
              </w:rPr>
              <w:t xml:space="preserve"> </w:t>
            </w:r>
            <w:r>
              <w:rPr>
                <w:rFonts w:hint="eastAsia" w:ascii="宋体" w:hAnsi="宋体"/>
                <w:sz w:val="18"/>
                <w:szCs w:val="18"/>
              </w:rPr>
              <w:t>17217 要求</w:t>
            </w:r>
            <w:r>
              <w:rPr>
                <w:rFonts w:hint="eastAsia" w:ascii="宋体" w:hAnsi="宋体" w:cs="等线"/>
                <w:sz w:val="18"/>
                <w:szCs w:val="18"/>
              </w:rPr>
              <w:t>。</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1.1.7</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服务人员每年至少进行1次健康检查，必要时接受临时检查，上岗时具有县级以上医疗或者疾病预防控制机构出具的健康证明。</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1.1.8</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公布文旅、市场监督、公安、卫健等部门及急救机构的投诉或者救助电话。</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场地要求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70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1.2.1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周边生态环境良好，具有浓郁的乡村风情和民俗特点。</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1.2.2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建筑布局合理，配置得当。</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1.2.3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庭院内卫生整洁，无乱建、乱堆、乱放现象。</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1.2.4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庭院、小径、服务区域等硬化、绿化合理。</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1.2.5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导览图、标识牌位置合理，内容清晰，体现皖东地域文化特色。</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1.2.6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距离污水池、垃圾场（站）、旱厕、禽畜饲养场所等污染源500</w:t>
            </w:r>
            <w:r>
              <w:rPr>
                <w:rFonts w:ascii="宋体" w:hAnsi="宋体" w:cs="等线"/>
                <w:color w:val="000000"/>
                <w:sz w:val="18"/>
                <w:szCs w:val="18"/>
              </w:rPr>
              <w:t xml:space="preserve"> </w:t>
            </w:r>
            <w:r>
              <w:rPr>
                <w:rFonts w:hint="eastAsia" w:ascii="宋体" w:hAnsi="宋体" w:cs="等线"/>
                <w:color w:val="000000"/>
                <w:sz w:val="18"/>
                <w:szCs w:val="18"/>
              </w:rPr>
              <w:t>m以上。</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1.2.7</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sz w:val="18"/>
                <w:szCs w:val="18"/>
              </w:rPr>
              <w:t>占地面积不少于 8000</w:t>
            </w:r>
            <w:r>
              <w:rPr>
                <w:rFonts w:ascii="宋体" w:hAnsi="宋体"/>
                <w:sz w:val="18"/>
                <w:szCs w:val="18"/>
              </w:rPr>
              <w:t xml:space="preserve"> </w:t>
            </w:r>
            <w:r>
              <w:rPr>
                <w:rFonts w:hint="eastAsia" w:ascii="宋体" w:hAnsi="宋体"/>
                <w:sz w:val="18"/>
                <w:szCs w:val="18"/>
              </w:rPr>
              <w:t>㎡，用于接待的建筑面积不少于 1500 ㎡，接待区域地面全部进行了硬化绿化处理</w:t>
            </w:r>
            <w:r>
              <w:rPr>
                <w:rFonts w:hint="eastAsia" w:ascii="宋体" w:hAnsi="宋体" w:cs="等线"/>
                <w:color w:val="000000"/>
                <w:sz w:val="18"/>
                <w:szCs w:val="18"/>
              </w:rPr>
              <w:t>。</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1.2.8</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生态停车场1处，小车位不少于20个，大巴车位不少于5个。</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安全要求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40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1.3.1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房屋地址应在远离污染源和地震断裂带、地下采空区、山区及丘陵区的滑坡段、悬崖边及崖底、泥石流和洪水沟口、水坝泄洪区等自然灾害易发生地段。</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1.3.2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房屋上空不得有架空的高压输电线路穿越，不得与生产和储藏易燃、易爆、易辐射等物品的建筑物毗邻。</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1.3.3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房屋建筑坚固、安全，并有效避免有害动物的侵入和栖息。</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1.3.4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各类场所门锁等安全装置，供电系统的安全保护装置，防盗、救护、应急照明等设备，热水、电气、烹饪等设备完好有效。</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1.3.5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标明清晰的逃生路线图，安全通道畅通。</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1.3.6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安全管理制度健全，制定并落实游客安全事故以及突发事件应急预案。</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1.3.7</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夜间留宿游客的须有值班人员（特指提供住宿服务的农家乐）。</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bl>
    <w:p/>
    <w:tbl>
      <w:tblPr>
        <w:tblStyle w:val="43"/>
        <w:tblW w:w="957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9"/>
        <w:gridCol w:w="6476"/>
        <w:gridCol w:w="750"/>
        <w:gridCol w:w="735"/>
        <w:gridCol w:w="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trPr>
        <w:tc>
          <w:tcPr>
            <w:tcW w:w="9571" w:type="dxa"/>
            <w:gridSpan w:val="5"/>
            <w:tcBorders>
              <w:top w:val="nil"/>
              <w:left w:val="nil"/>
              <w:bottom w:val="single" w:color="auto" w:sz="4" w:space="0"/>
              <w:right w:val="nil"/>
            </w:tcBorders>
            <w:noWrap w:val="0"/>
            <w:vAlign w:val="center"/>
          </w:tcPr>
          <w:p>
            <w:pPr>
              <w:spacing w:before="156" w:beforeLines="50" w:after="156" w:afterLines="50"/>
              <w:jc w:val="center"/>
              <w:rPr>
                <w:rFonts w:hint="eastAsia" w:ascii="黑体" w:hAnsi="黑体" w:eastAsia="黑体"/>
                <w:color w:val="000000"/>
                <w:szCs w:val="21"/>
              </w:rPr>
            </w:pPr>
            <w:r>
              <w:rPr>
                <w:rFonts w:hint="eastAsia" w:ascii="黑体" w:hAnsi="黑体" w:eastAsia="黑体"/>
                <w:color w:val="000000"/>
                <w:szCs w:val="21"/>
              </w:rPr>
              <w:t>表A</w:t>
            </w:r>
            <w:r>
              <w:rPr>
                <w:rFonts w:ascii="黑体" w:hAnsi="黑体" w:eastAsia="黑体"/>
                <w:color w:val="000000"/>
                <w:szCs w:val="21"/>
              </w:rPr>
              <w:t xml:space="preserve">.1  </w:t>
            </w:r>
            <w:r>
              <w:rPr>
                <w:rFonts w:hint="eastAsia" w:ascii="宋体" w:hAnsi="宋体"/>
                <w:color w:val="000000"/>
                <w:szCs w:val="21"/>
              </w:rPr>
              <w:t>（续）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trPr>
        <w:tc>
          <w:tcPr>
            <w:tcW w:w="959" w:type="dxa"/>
            <w:tcBorders>
              <w:top w:val="single" w:color="auto" w:sz="4" w:space="0"/>
            </w:tcBorders>
            <w:noWrap w:val="0"/>
            <w:vAlign w:val="center"/>
          </w:tcPr>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序号</w:t>
            </w:r>
          </w:p>
        </w:tc>
        <w:tc>
          <w:tcPr>
            <w:tcW w:w="6476" w:type="dxa"/>
            <w:tcBorders>
              <w:top w:val="single" w:color="auto" w:sz="4" w:space="0"/>
            </w:tcBorders>
            <w:noWrap w:val="0"/>
            <w:vAlign w:val="center"/>
          </w:tcPr>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检查项目</w:t>
            </w:r>
          </w:p>
        </w:tc>
        <w:tc>
          <w:tcPr>
            <w:tcW w:w="750" w:type="dxa"/>
            <w:tcBorders>
              <w:top w:val="single" w:color="auto" w:sz="4" w:space="0"/>
            </w:tcBorders>
            <w:noWrap w:val="0"/>
            <w:vAlign w:val="center"/>
          </w:tcPr>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最高</w:t>
            </w:r>
          </w:p>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得分</w:t>
            </w:r>
          </w:p>
        </w:tc>
        <w:tc>
          <w:tcPr>
            <w:tcW w:w="735" w:type="dxa"/>
            <w:tcBorders>
              <w:top w:val="single" w:color="auto" w:sz="4" w:space="0"/>
            </w:tcBorders>
            <w:noWrap w:val="0"/>
            <w:vAlign w:val="center"/>
          </w:tcPr>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分项</w:t>
            </w:r>
          </w:p>
          <w:p>
            <w:pPr>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rPr>
              <w:t>计分</w:t>
            </w:r>
          </w:p>
        </w:tc>
        <w:tc>
          <w:tcPr>
            <w:tcW w:w="651" w:type="dxa"/>
            <w:tcBorders>
              <w:top w:val="single" w:color="auto" w:sz="4" w:space="0"/>
            </w:tcBorders>
            <w:noWrap w:val="0"/>
            <w:vAlign w:val="center"/>
          </w:tcPr>
          <w:p>
            <w:pPr>
              <w:spacing w:line="240" w:lineRule="exact"/>
              <w:jc w:val="center"/>
              <w:rPr>
                <w:rFonts w:ascii="黑体" w:hAnsi="黑体" w:eastAsia="黑体"/>
                <w:color w:val="000000"/>
                <w:sz w:val="18"/>
                <w:szCs w:val="18"/>
              </w:rPr>
            </w:pPr>
            <w:r>
              <w:rPr>
                <w:rFonts w:hint="eastAsia" w:ascii="黑体" w:hAnsi="黑体" w:eastAsia="黑体"/>
                <w:color w:val="000000"/>
                <w:sz w:val="18"/>
                <w:szCs w:val="18"/>
              </w:rPr>
              <w:t>分档</w:t>
            </w:r>
          </w:p>
          <w:p>
            <w:pPr>
              <w:spacing w:line="240" w:lineRule="exact"/>
              <w:jc w:val="center"/>
              <w:rPr>
                <w:rFonts w:ascii="黑体" w:hAnsi="黑体" w:eastAsia="黑体" w:cs="黑体"/>
                <w:color w:val="000000"/>
                <w:sz w:val="18"/>
                <w:szCs w:val="18"/>
              </w:rPr>
            </w:pPr>
            <w:r>
              <w:rPr>
                <w:rFonts w:hint="eastAsia" w:ascii="黑体" w:hAnsi="黑体" w:eastAsia="黑体"/>
                <w:color w:val="000000"/>
                <w:sz w:val="18"/>
                <w:szCs w:val="18"/>
              </w:rPr>
              <w:t>计分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消防要求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25</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1.4.1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公众聚集场所消防安全符合GA 654的要求。</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1.4.2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室内装修、装饰采用不燃、难燃防火材料。</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1.4.3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醒目放置消防器材，并定期检验、维护，保持完好有效。经常检查、检测和保养厨房燃油、燃气管道、烟道等设施。</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1.4.4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易燃、易爆、易辐射等物品的储存和管理符合安全规定。</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1.4.5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炉火、烟道等取暖设备与可燃物之间采取有效的防火、隔热措施。</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环保要求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25</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1.5.1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污水排放应符合GB 8978的要求。</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1.5.2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无随意丢弃、堆放、焚烧垃圾和其他污染物现象；垃圾按照国家标准进行四种分类。</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1.5.3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小规模禽畜散养应实现人畜分离。</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1.5.4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无污染环境和破坏自然资源的现象。</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卫生要求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1.6.1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洗涤剂、消毒剂应符合GB 14930.2 的要求。</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1.6.2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食品卫生符合国家规定，餐饮场所的卫生条件应达到GB16153规定的要求，餐饮服务配备消毒设施，不使用对环境造成污染的一次性餐具。</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1.6.3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制定卫生制度和措施，定期进行卫生检查。</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1.6.4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地面、墙壁、天花板、门窗、排水沟保持清洁和良好状况。</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1.6.5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每天至少清除垃圾1次，及时清洗盛放垃圾的容器，并适时进行消毒。</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1.6.6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定期除虫灭害，除虫灭害时对食品及原料采取必要的保护措施。</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1.6.7</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员工定期更换衣帽，接触直接入口食品的人员工作衣帽每天更换并佩戴口罩。</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1.7</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餐厅要求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1.7.</w:t>
            </w:r>
            <w:r>
              <w:rPr>
                <w:rFonts w:ascii="宋体" w:hAnsi="宋体" w:cs="等线"/>
                <w:color w:val="000000"/>
                <w:sz w:val="18"/>
                <w:szCs w:val="18"/>
              </w:rPr>
              <w:t>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环境整洁、干净，采光、通风、照明良好。</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1.7.</w:t>
            </w:r>
            <w:r>
              <w:rPr>
                <w:rFonts w:ascii="宋体" w:hAnsi="宋体" w:cs="等线"/>
                <w:color w:val="000000"/>
                <w:sz w:val="18"/>
                <w:szCs w:val="18"/>
              </w:rPr>
              <w:t>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地面经防滑处理，保持清洁、干燥、畅通。</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1.7.</w:t>
            </w:r>
            <w:r>
              <w:rPr>
                <w:rFonts w:ascii="宋体" w:hAnsi="宋体" w:cs="等线"/>
                <w:color w:val="000000"/>
                <w:sz w:val="18"/>
                <w:szCs w:val="18"/>
              </w:rPr>
              <w:t>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餐厅内桌、椅、台等应保持清洁、完好，无破损。</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1.7.</w:t>
            </w:r>
            <w:r>
              <w:rPr>
                <w:rFonts w:ascii="宋体" w:hAnsi="宋体" w:cs="等线"/>
                <w:color w:val="000000"/>
                <w:sz w:val="18"/>
                <w:szCs w:val="18"/>
              </w:rPr>
              <w:t>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有空气消毒、消灭蚊蝇等虫害的设备、工具。</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1.7.</w:t>
            </w:r>
            <w:r>
              <w:rPr>
                <w:rFonts w:ascii="宋体" w:hAnsi="宋体" w:cs="等线"/>
                <w:color w:val="000000"/>
                <w:sz w:val="18"/>
                <w:szCs w:val="18"/>
              </w:rPr>
              <w:t>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一次性用餐应不少于100餐位。</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1.7.</w:t>
            </w:r>
            <w:r>
              <w:rPr>
                <w:rFonts w:ascii="宋体" w:hAnsi="宋体" w:cs="等线"/>
                <w:color w:val="000000"/>
                <w:sz w:val="18"/>
                <w:szCs w:val="18"/>
              </w:rPr>
              <w:t>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餐具、酒具、茶具等器皿设计应体现皖东地域文化特色，无破损、油污、有消毒处理。</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1.7.</w:t>
            </w:r>
            <w:r>
              <w:rPr>
                <w:rFonts w:ascii="宋体" w:hAnsi="宋体" w:cs="等线"/>
                <w:color w:val="000000"/>
                <w:sz w:val="18"/>
                <w:szCs w:val="18"/>
              </w:rPr>
              <w:t>7</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能提供具有皖东地域文化特色的风味菜肴、品种丰富，有皖东文化主题元素、明码标价的菜谱。</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1.8</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食品要求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55</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1.8.1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加工食品前应认真检查食品原料和辅料，腐败、变质或超过保质期的不得加工。无回收后的食品（包括辅料）经烹调加工后再次供应。</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1.8.2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待加工食品与直接入口食品、原料与成品应分开存放，摆放在橱外、室外的成品须采取防蝇、防尘措施。</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1.8.2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需要冷藏的熟制品应当冷却后再冷藏。</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1.8.3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凉菜应当使用专用工具、容器，用前消毒，用后洗净并保持清洁。</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1.8.4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制作好的凉菜要当餐用完，现榨果蔬汁和水果拼盘应当餐供应。</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1.8.5</w:t>
            </w:r>
          </w:p>
        </w:tc>
        <w:tc>
          <w:tcPr>
            <w:tcW w:w="6476" w:type="dxa"/>
            <w:noWrap w:val="0"/>
            <w:vAlign w:val="center"/>
          </w:tcPr>
          <w:p>
            <w:pPr>
              <w:pStyle w:val="48"/>
              <w:widowControl w:val="0"/>
              <w:numPr>
                <w:ilvl w:val="2"/>
                <w:numId w:val="0"/>
              </w:numPr>
              <w:spacing w:before="0" w:beforeLines="0" w:after="0" w:afterLines="0" w:line="300" w:lineRule="exact"/>
              <w:jc w:val="both"/>
              <w:outlineLvl w:val="9"/>
              <w:rPr>
                <w:rFonts w:ascii="宋体" w:hAnsi="宋体" w:eastAsia="宋体" w:cs="等线"/>
                <w:color w:val="000000"/>
                <w:kern w:val="2"/>
                <w:sz w:val="18"/>
                <w:szCs w:val="18"/>
              </w:rPr>
            </w:pPr>
            <w:r>
              <w:rPr>
                <w:rFonts w:hint="eastAsia" w:ascii="宋体" w:hAnsi="宋体" w:eastAsia="宋体" w:cs="等线"/>
                <w:sz w:val="18"/>
                <w:szCs w:val="18"/>
              </w:rPr>
              <w:t>有食品留样制度，有食品留样柜和留样记录。</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1.8.6</w:t>
            </w:r>
          </w:p>
        </w:tc>
        <w:tc>
          <w:tcPr>
            <w:tcW w:w="6476" w:type="dxa"/>
            <w:noWrap w:val="0"/>
            <w:vAlign w:val="center"/>
          </w:tcPr>
          <w:p>
            <w:pPr>
              <w:spacing w:line="300" w:lineRule="exact"/>
              <w:rPr>
                <w:rFonts w:ascii="宋体" w:hAnsi="宋体" w:cs="等线"/>
                <w:sz w:val="18"/>
                <w:szCs w:val="18"/>
              </w:rPr>
            </w:pPr>
            <w:r>
              <w:rPr>
                <w:rFonts w:hint="eastAsia" w:ascii="宋体" w:hAnsi="宋体" w:cs="等线"/>
                <w:sz w:val="18"/>
                <w:szCs w:val="18"/>
              </w:rPr>
              <w:t>提供的肉鱼蛋禽、蔬菜水果等以自种、自养或周边农户供应，符合绿色、有机、无公害。</w:t>
            </w:r>
          </w:p>
        </w:tc>
        <w:tc>
          <w:tcPr>
            <w:tcW w:w="750" w:type="dxa"/>
            <w:noWrap w:val="0"/>
            <w:vAlign w:val="center"/>
          </w:tcPr>
          <w:p>
            <w:pPr>
              <w:spacing w:line="300" w:lineRule="exact"/>
              <w:rPr>
                <w:rFonts w:ascii="宋体" w:hAnsi="宋体" w:cs="等线"/>
                <w:sz w:val="18"/>
                <w:szCs w:val="18"/>
              </w:rPr>
            </w:pPr>
          </w:p>
        </w:tc>
        <w:tc>
          <w:tcPr>
            <w:tcW w:w="735" w:type="dxa"/>
            <w:noWrap w:val="0"/>
            <w:vAlign w:val="center"/>
          </w:tcPr>
          <w:p>
            <w:pPr>
              <w:spacing w:line="300" w:lineRule="exact"/>
              <w:rPr>
                <w:rFonts w:ascii="宋体" w:hAnsi="宋体" w:cs="等线"/>
                <w:sz w:val="18"/>
                <w:szCs w:val="18"/>
              </w:rPr>
            </w:pPr>
            <w:r>
              <w:rPr>
                <w:rFonts w:hint="eastAsia" w:ascii="宋体" w:hAnsi="宋体" w:cs="等线"/>
                <w:sz w:val="18"/>
                <w:szCs w:val="18"/>
              </w:rPr>
              <w:t>5</w:t>
            </w:r>
          </w:p>
        </w:tc>
        <w:tc>
          <w:tcPr>
            <w:tcW w:w="651" w:type="dxa"/>
            <w:noWrap w:val="0"/>
            <w:vAlign w:val="center"/>
          </w:tcPr>
          <w:p>
            <w:pPr>
              <w:spacing w:line="300" w:lineRule="exact"/>
              <w:rPr>
                <w:rFonts w:ascii="宋体" w:hAnsi="宋体" w:cs="等线"/>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sz w:val="18"/>
                <w:szCs w:val="18"/>
              </w:rPr>
            </w:pPr>
            <w:r>
              <w:rPr>
                <w:rFonts w:hint="eastAsia" w:ascii="宋体" w:hAnsi="宋体" w:cs="等线"/>
                <w:sz w:val="18"/>
                <w:szCs w:val="18"/>
              </w:rPr>
              <w:t>1.8.7</w:t>
            </w:r>
          </w:p>
        </w:tc>
        <w:tc>
          <w:tcPr>
            <w:tcW w:w="6476" w:type="dxa"/>
            <w:noWrap w:val="0"/>
            <w:vAlign w:val="center"/>
          </w:tcPr>
          <w:p>
            <w:pPr>
              <w:spacing w:line="300" w:lineRule="exact"/>
              <w:rPr>
                <w:rFonts w:ascii="宋体" w:hAnsi="宋体" w:cs="等线"/>
                <w:sz w:val="18"/>
                <w:szCs w:val="18"/>
              </w:rPr>
            </w:pPr>
            <w:r>
              <w:rPr>
                <w:rFonts w:hint="eastAsia" w:ascii="宋体" w:hAnsi="宋体" w:cs="等线"/>
                <w:sz w:val="18"/>
                <w:szCs w:val="18"/>
              </w:rPr>
              <w:t>海产品加工应使用专用工具、容器，加工时应避免可食部分受到污染；加工后至食用的间隔时间不得超过1小时；生食海产品存放应使用保鲜膜分隔。</w:t>
            </w:r>
          </w:p>
        </w:tc>
        <w:tc>
          <w:tcPr>
            <w:tcW w:w="750" w:type="dxa"/>
            <w:noWrap w:val="0"/>
            <w:vAlign w:val="center"/>
          </w:tcPr>
          <w:p>
            <w:pPr>
              <w:spacing w:line="300" w:lineRule="exact"/>
              <w:rPr>
                <w:rFonts w:ascii="宋体" w:hAnsi="宋体" w:cs="等线"/>
                <w:sz w:val="18"/>
                <w:szCs w:val="18"/>
              </w:rPr>
            </w:pPr>
          </w:p>
        </w:tc>
        <w:tc>
          <w:tcPr>
            <w:tcW w:w="735" w:type="dxa"/>
            <w:noWrap w:val="0"/>
            <w:vAlign w:val="center"/>
          </w:tcPr>
          <w:p>
            <w:pPr>
              <w:spacing w:line="300" w:lineRule="exact"/>
              <w:rPr>
                <w:rFonts w:ascii="宋体" w:hAnsi="宋体" w:cs="等线"/>
                <w:sz w:val="18"/>
                <w:szCs w:val="18"/>
              </w:rPr>
            </w:pPr>
            <w:r>
              <w:rPr>
                <w:rFonts w:hint="eastAsia" w:ascii="宋体" w:hAnsi="宋体" w:cs="等线"/>
                <w:sz w:val="18"/>
                <w:szCs w:val="18"/>
              </w:rPr>
              <w:t>5</w:t>
            </w:r>
          </w:p>
        </w:tc>
        <w:tc>
          <w:tcPr>
            <w:tcW w:w="651" w:type="dxa"/>
            <w:noWrap w:val="0"/>
            <w:vAlign w:val="center"/>
          </w:tcPr>
          <w:p>
            <w:pPr>
              <w:spacing w:line="300" w:lineRule="exact"/>
              <w:rPr>
                <w:rFonts w:ascii="宋体" w:hAnsi="宋体" w:cs="等线"/>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1.9</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厨房要求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45</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1.9.1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厨房为独立的功能区，用无毒材料建成，地面硬化处理，防滑、有地沟（暗沟），易于清洗，墙面平整，墙面瓷砖墙裙不得低于2m；易清洗，无脱落。</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1.9.2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大锅灶间、粗加工间、烹饪间、凉菜间、洗碗间应独立分开设置，食品与非食品、食品粗加工与制作分设或隔离。</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1.9.3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餐（饮）具洗涤池、清洗池、消毒池设置合理，消毒卫生条件符合GB14934的规定，蔬菜清洗池、肉类清洗池独立分设。</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1.9.4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有冷藏、冷冻设备和餐具消毒设备，生熟食品分开贮藏。食品原料和餐具分开清洗。</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1.9.5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厨具按规定进行消毒，有完整的消毒记录。</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1.9.6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有封闭的存放临时垃圾的设施。</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1.9.7</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有防止蚊蝇、老鼠等害虫进入的措施。</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1.9.8</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排水口具有防止逆流、有害动物侵入及臭味产生的装置。</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1.9.9</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通风设施完备，运行良好，油烟、热气能迅速排出。</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1.10</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厕所要求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1.10.1</w:t>
            </w:r>
          </w:p>
        </w:tc>
        <w:tc>
          <w:tcPr>
            <w:tcW w:w="6476" w:type="dxa"/>
            <w:noWrap w:val="0"/>
            <w:vAlign w:val="center"/>
          </w:tcPr>
          <w:p>
            <w:pPr>
              <w:pStyle w:val="48"/>
              <w:numPr>
                <w:ilvl w:val="2"/>
                <w:numId w:val="0"/>
              </w:numPr>
              <w:spacing w:before="0" w:beforeLines="0" w:after="0" w:afterLines="0" w:line="300" w:lineRule="exact"/>
              <w:jc w:val="both"/>
              <w:outlineLvl w:val="9"/>
              <w:rPr>
                <w:rFonts w:ascii="宋体" w:hAnsi="宋体" w:eastAsia="宋体" w:cs="等线"/>
                <w:color w:val="000000"/>
                <w:sz w:val="18"/>
                <w:szCs w:val="18"/>
              </w:rPr>
            </w:pPr>
            <w:r>
              <w:rPr>
                <w:rFonts w:hint="eastAsia" w:ascii="宋体" w:hAnsi="宋体" w:eastAsia="宋体" w:cs="等线"/>
                <w:color w:val="000000"/>
                <w:sz w:val="18"/>
                <w:szCs w:val="18"/>
              </w:rPr>
              <w:t>布局合理，与接待能力及服务功能相适应，与周边环境和建筑相协调；</w:t>
            </w:r>
            <w:r>
              <w:rPr>
                <w:rFonts w:hint="eastAsia" w:ascii="宋体" w:hAnsi="宋体" w:eastAsia="宋体" w:cs="等线"/>
                <w:sz w:val="18"/>
                <w:szCs w:val="18"/>
              </w:rPr>
              <w:t>达到A级以上旅游厕所标准。</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1.10.2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采光、通风、照明良好，厕所内设备、环境整洁，有防蚊蝇、除臭措施，无异味。</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1.10.3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男女厕所分开设置，数量满足游客需要，冲洗设备齐全完好, 宜有残疾人专用的厕位。</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1.10.4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具备辅助设施：手纸、手纸筐、挂衣钩、洗手池（配备洗涤品）。</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1.10.5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有污水管道，符合当地改厕要求，防渗、防腐、密封，能有效处理粪便，污水达标排放。</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设施设备要求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1.11.1</w:t>
            </w:r>
          </w:p>
        </w:tc>
        <w:tc>
          <w:tcPr>
            <w:tcW w:w="6476" w:type="dxa"/>
            <w:noWrap w:val="0"/>
            <w:vAlign w:val="center"/>
          </w:tcPr>
          <w:p>
            <w:pPr>
              <w:pStyle w:val="48"/>
              <w:numPr>
                <w:ilvl w:val="2"/>
                <w:numId w:val="0"/>
              </w:numPr>
              <w:spacing w:before="0" w:beforeLines="0" w:after="0" w:afterLines="0" w:line="300" w:lineRule="exact"/>
              <w:jc w:val="both"/>
              <w:outlineLvl w:val="9"/>
              <w:rPr>
                <w:rFonts w:ascii="宋体" w:hAnsi="宋体" w:eastAsia="宋体" w:cs="等线"/>
                <w:color w:val="000000"/>
                <w:sz w:val="18"/>
                <w:szCs w:val="18"/>
              </w:rPr>
            </w:pPr>
            <w:r>
              <w:rPr>
                <w:rFonts w:hint="eastAsia" w:ascii="宋体" w:hAnsi="宋体" w:eastAsia="宋体" w:cs="等线"/>
                <w:sz w:val="18"/>
                <w:szCs w:val="18"/>
              </w:rPr>
              <w:t>配备电视机，有公用电话；</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1.11.2</w:t>
            </w:r>
          </w:p>
        </w:tc>
        <w:tc>
          <w:tcPr>
            <w:tcW w:w="6476" w:type="dxa"/>
            <w:noWrap w:val="0"/>
            <w:vAlign w:val="center"/>
          </w:tcPr>
          <w:p>
            <w:pPr>
              <w:pStyle w:val="48"/>
              <w:numPr>
                <w:ilvl w:val="2"/>
                <w:numId w:val="0"/>
              </w:numPr>
              <w:spacing w:before="0" w:beforeLines="0" w:after="0" w:afterLines="0" w:line="300" w:lineRule="exact"/>
              <w:jc w:val="both"/>
              <w:outlineLvl w:val="9"/>
              <w:rPr>
                <w:rFonts w:ascii="宋体" w:hAnsi="宋体" w:eastAsia="宋体" w:cs="等线"/>
                <w:color w:val="000000"/>
                <w:sz w:val="18"/>
                <w:szCs w:val="18"/>
              </w:rPr>
            </w:pPr>
            <w:r>
              <w:rPr>
                <w:rFonts w:hint="eastAsia" w:ascii="宋体" w:hAnsi="宋体" w:eastAsia="宋体" w:cs="等线"/>
                <w:sz w:val="18"/>
                <w:szCs w:val="18"/>
              </w:rPr>
              <w:t>有展示地方文旅资源产品的显示设备。</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1.11.3</w:t>
            </w:r>
          </w:p>
        </w:tc>
        <w:tc>
          <w:tcPr>
            <w:tcW w:w="6476" w:type="dxa"/>
            <w:noWrap w:val="0"/>
            <w:vAlign w:val="center"/>
          </w:tcPr>
          <w:p>
            <w:pPr>
              <w:pStyle w:val="48"/>
              <w:numPr>
                <w:ilvl w:val="2"/>
                <w:numId w:val="0"/>
              </w:numPr>
              <w:spacing w:before="0" w:beforeLines="0" w:after="0" w:afterLines="0" w:line="300" w:lineRule="exact"/>
              <w:jc w:val="both"/>
              <w:outlineLvl w:val="9"/>
              <w:rPr>
                <w:rFonts w:ascii="宋体" w:hAnsi="宋体" w:eastAsia="宋体" w:cs="等线"/>
                <w:color w:val="000000"/>
                <w:sz w:val="18"/>
                <w:szCs w:val="18"/>
              </w:rPr>
            </w:pPr>
            <w:r>
              <w:rPr>
                <w:rFonts w:hint="eastAsia" w:ascii="宋体" w:hAnsi="宋体" w:eastAsia="宋体" w:cs="等线"/>
                <w:sz w:val="18"/>
                <w:szCs w:val="18"/>
              </w:rPr>
              <w:t>有互联网，无线网络全覆盖，有网站或网页。</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1.11.4</w:t>
            </w:r>
          </w:p>
        </w:tc>
        <w:tc>
          <w:tcPr>
            <w:tcW w:w="6476" w:type="dxa"/>
            <w:noWrap w:val="0"/>
            <w:vAlign w:val="center"/>
          </w:tcPr>
          <w:p>
            <w:pPr>
              <w:pStyle w:val="48"/>
              <w:numPr>
                <w:ilvl w:val="2"/>
                <w:numId w:val="0"/>
              </w:numPr>
              <w:spacing w:before="0" w:beforeLines="0" w:after="0" w:afterLines="0" w:line="300" w:lineRule="exact"/>
              <w:jc w:val="both"/>
              <w:outlineLvl w:val="9"/>
              <w:rPr>
                <w:rFonts w:ascii="宋体" w:hAnsi="宋体" w:eastAsia="宋体" w:cs="等线"/>
                <w:color w:val="000000"/>
                <w:sz w:val="18"/>
                <w:szCs w:val="18"/>
              </w:rPr>
            </w:pPr>
            <w:r>
              <w:rPr>
                <w:rFonts w:hint="eastAsia" w:ascii="宋体" w:hAnsi="宋体" w:eastAsia="宋体" w:cs="等线"/>
                <w:sz w:val="18"/>
                <w:szCs w:val="18"/>
              </w:rPr>
              <w:t>提供多功能充电服务，至少配备一个汽车充电桩。</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1.11.5</w:t>
            </w:r>
          </w:p>
        </w:tc>
        <w:tc>
          <w:tcPr>
            <w:tcW w:w="6476" w:type="dxa"/>
            <w:noWrap w:val="0"/>
            <w:vAlign w:val="center"/>
          </w:tcPr>
          <w:p>
            <w:pPr>
              <w:pStyle w:val="48"/>
              <w:numPr>
                <w:ilvl w:val="2"/>
                <w:numId w:val="0"/>
              </w:numPr>
              <w:spacing w:before="0" w:beforeLines="0" w:after="0" w:afterLines="0" w:line="300" w:lineRule="exact"/>
              <w:jc w:val="both"/>
              <w:outlineLvl w:val="9"/>
              <w:rPr>
                <w:rFonts w:ascii="宋体" w:hAnsi="宋体" w:eastAsia="宋体" w:cs="等线"/>
                <w:color w:val="000000"/>
                <w:sz w:val="18"/>
                <w:szCs w:val="18"/>
              </w:rPr>
            </w:pPr>
            <w:r>
              <w:rPr>
                <w:rFonts w:hint="eastAsia" w:ascii="宋体" w:hAnsi="宋体" w:eastAsia="宋体" w:cs="等线"/>
                <w:sz w:val="18"/>
                <w:szCs w:val="18"/>
              </w:rPr>
              <w:t>备有必要的应急药品和简单的急救器械，与医疗救援机构有合作机制。</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客房要求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45</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1.12.1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距城市（含县城）20公里以内的可不设住宿设施。</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1.12.2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客房装修较好，配备具有皖东地域特色的工艺品、美术品等。</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1.12.3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游客人均居住面积不低于8平方米；客房设有卫生间，有抽水恭桶或冲水便池、面盆、浴缸或淋浴等设备，并采取有效的防滑措施；24小时供应冷热水。客房提供饮水服务，配备相应杯具；客房10间或20个床位以上。</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1.12.4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房间照明良好，有电源插座、夜灯；配备桌椅、床头柜、衣架、电视机、冷暖空调；家具齐全，使用性能良好。门锁有暗销防盗设置。在显著位置张贴应急疏散图和相关说明。</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1.12.5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客房、卫生间每天至少整理1次，并可根据游客要求随时整理。</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1.12.6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床单、枕套、被套等床上用品使用合格产品，一客一换，或根据游客的要求随时更换。</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1.12.7</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有防蟑螂、蛇、老鼠、蚊蝇等措施。</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购物要求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1.13.1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设有旅游商品经营区，面积不少于30平方米，商品应质量合格，明码标价，无欺诈行为。</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1.13.2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有体现皖东物产和文化的农副土特产品、民间工艺品和旅游纪念品等。</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服务要求</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45</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1.14.1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遵守法律、法规，尊重社会公德和职业道德，诚实信用，公平交易。</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1.14.2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尊重游客的宗教信仰和民族习俗。</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1.14.3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对游客礼貌、友好、真诚，平等相待。</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1.14.4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着装整洁，表情自然，举止得体，热情适度。</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1.14.5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语言文明，表达清晰，</w:t>
            </w:r>
            <w:r>
              <w:rPr>
                <w:rFonts w:hint="eastAsia" w:ascii="宋体" w:hAnsi="宋体" w:cs="等线"/>
                <w:sz w:val="18"/>
                <w:szCs w:val="18"/>
              </w:rPr>
              <w:t>使用普通话服务</w:t>
            </w:r>
            <w:r>
              <w:rPr>
                <w:rFonts w:hint="eastAsia" w:ascii="宋体" w:hAnsi="宋体" w:cs="等线"/>
                <w:color w:val="000000"/>
                <w:sz w:val="18"/>
                <w:szCs w:val="18"/>
              </w:rPr>
              <w:t>。</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1.14.6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有服务操作规范，并按规范提供服务。</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1.14.7</w:t>
            </w:r>
          </w:p>
        </w:tc>
        <w:tc>
          <w:tcPr>
            <w:tcW w:w="6476" w:type="dxa"/>
            <w:noWrap w:val="0"/>
            <w:vAlign w:val="center"/>
          </w:tcPr>
          <w:p>
            <w:pPr>
              <w:pStyle w:val="48"/>
              <w:numPr>
                <w:ilvl w:val="2"/>
                <w:numId w:val="0"/>
              </w:numPr>
              <w:spacing w:before="0" w:beforeLines="0" w:after="0" w:afterLines="0" w:line="300" w:lineRule="exact"/>
              <w:jc w:val="both"/>
              <w:outlineLvl w:val="9"/>
              <w:rPr>
                <w:rFonts w:ascii="宋体" w:hAnsi="宋体" w:eastAsia="宋体" w:cs="等线"/>
                <w:color w:val="000000"/>
                <w:sz w:val="18"/>
                <w:szCs w:val="18"/>
              </w:rPr>
            </w:pPr>
            <w:r>
              <w:rPr>
                <w:rFonts w:hint="eastAsia" w:ascii="宋体" w:hAnsi="宋体" w:eastAsia="宋体" w:cs="等线"/>
                <w:sz w:val="18"/>
                <w:szCs w:val="18"/>
              </w:rPr>
              <w:t>服务人员统一着装，服饰和配饰具有皖东地域文化特征。</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1.14.8</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掌握基本安全知识，具有使用安全设备的基本技能，能够在紧急情况下操作报警设备。</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7435" w:type="dxa"/>
            <w:gridSpan w:val="2"/>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2.文化主题特色项目</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300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民居特色</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60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2.1.1</w:t>
            </w:r>
          </w:p>
        </w:tc>
        <w:tc>
          <w:tcPr>
            <w:tcW w:w="6476" w:type="dxa"/>
            <w:noWrap w:val="0"/>
            <w:vAlign w:val="center"/>
          </w:tcPr>
          <w:p>
            <w:pPr>
              <w:pStyle w:val="48"/>
              <w:widowControl w:val="0"/>
              <w:numPr>
                <w:ilvl w:val="2"/>
                <w:numId w:val="0"/>
              </w:numPr>
              <w:spacing w:before="0" w:beforeLines="0" w:after="0" w:afterLines="0" w:line="300" w:lineRule="exact"/>
              <w:jc w:val="both"/>
              <w:outlineLvl w:val="9"/>
              <w:rPr>
                <w:rFonts w:ascii="宋体" w:hAnsi="宋体" w:eastAsia="宋体" w:cs="等线"/>
                <w:color w:val="000000"/>
                <w:kern w:val="2"/>
                <w:sz w:val="18"/>
                <w:szCs w:val="18"/>
              </w:rPr>
            </w:pPr>
            <w:r>
              <w:rPr>
                <w:rFonts w:hint="eastAsia" w:ascii="宋体" w:hAnsi="宋体" w:eastAsia="宋体" w:cs="等线"/>
                <w:sz w:val="18"/>
                <w:szCs w:val="18"/>
              </w:rPr>
              <w:t>主体建筑物风格突显一种皖东地域文化特色元素。</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2.1.2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sz w:val="18"/>
                <w:szCs w:val="18"/>
              </w:rPr>
              <w:t>建筑设计、装修具有皖东地域文化主题内涵。</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2.1.3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采用低碳清洁能源（如太阳能、地热能、水能、风能、生物能等），体现绿色环保或循环经济理念.</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餐厅特色</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70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2.2.1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装修具有浓郁的皖东地域文化元素和氛围，包含至少一种文化主题。</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2.2.2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装修以一种文化元素为主题，至少具有一种文化内涵。</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2.2.3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餐具、酒具、茶具等器皿设计应体现皖东地域文化特色元素，无破损、油污、经消毒处理。</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2.2.4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灯光设计具有专业性和艺术感，能烘托就餐气氛，彰显雅致情调。</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2.2.5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有影像或音乐设备，可播放本地民间节目与音乐。</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餐饮特色</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90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2.3.1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早餐能提供自制的农家早点及地方小吃。</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2.3.2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能提供自制品种在6个以上的皖东特色菜肴。</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2.3.3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能提供自制自创品种在4个以上的皖东农家风味小吃。</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2.3.4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有特色鲜明、享有较高知名度的招牌菜、面点或饮品。</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2.3.5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能够根据游客的需求提供特殊餐饮。</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2.3.6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根据游客需求提供夜宵。</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2.3.7</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据少数民族游客的饮食习惯提供符合其民族风味的基本菜肴。</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服务特色</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60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2.4.1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以音像、图片、文字等方式展示和介绍当地的历史传说、风土人情以及本农家乐的特点。</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2.4.2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有展示、介绍或售卖当地的特色农副产品、工艺品、纪念品等。</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2.4.3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介绍本店提供的餐饮具有的特色及有关营养方面的知识。</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2.4.4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服务人员衣着体现皖东民俗文化元素。</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2.4.5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sz w:val="18"/>
                <w:szCs w:val="18"/>
              </w:rPr>
              <w:t>能根据经营环境紧密结合当地主题特色设计多项旅游活动的，如有特色疗养、养生、休闲、娱乐、健身、运动功能等，并以此为主题从事经营。</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2.4.6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提供物品寄存、旅游宣传册、旅行用品等服务。</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农（渔）事活动特色</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2.5.1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提供3种以上参与性农（渔）事活动</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2.5.2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提供4种以上参与性农（渔）事活动</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2.5.3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提供5种以上参与性农事（渔）活动</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2.5.4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提供6种以上参与性农（渔）事活动</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7435" w:type="dxa"/>
            <w:gridSpan w:val="2"/>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3.综合加分项目</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乡村旅游活动特色</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20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3.1.1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乡村旅游活动项目与其他旅游点及附近乡村旅游点之间具有较强的差异性。</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3.1.2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乡村旅游活动区域具有充足的活动空间，能进行小型的民俗文化表演。</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3.1.3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定期或不定期赏花采摘等活动。</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3.1.4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定期或不定期举办赛事、民俗表演、庙会山会等活动。</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乡村旅游资源特色</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3.2.1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建有民俗展示、农具展示、村史展览等场馆。</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3.2.2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有兼具游览价值的果园、菜园、苗圃、茶园、养殖场、林场等。</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3.2.3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有游览价值的山地、海岸、岛屿、河流、湖泊、峡谷、洞穴、湿地、温泉等。</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3.2.4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毗邻有革命遗址、宗教遗存、名人故居等。</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3.2.5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有古民居建筑、古井、古桥、古牌坊、古建筑遗址等。</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旅游乡镇等级</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3.3.1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所在乡镇（街道、村、社区）是省休闲农业与乡村旅游示范点。</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3.3.2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所在乡镇（街道、村、社区）是省优秀旅游乡镇或特色村。</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4</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3.3.3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所在乡镇（街道、村、社区）是国家休闲农业与乡村旅游示范点或国家特色景观镇（村）。</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4</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所在村周边旅游资源</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3.4.1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本村（社区）有旅游景区。或有以下中的一项。</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3.4.2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周边5公里内有A级旅游景区。</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3.4.3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周边5公里内有AA级旅游景区。</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5</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3.4.4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周边5公里内有AAA级旅游景区。</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8</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3.4.5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周边5公里内有AAAA级以上旅游景区。</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3.5</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游客满意度（现场抽样调查）</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3.5.1</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满意度在70%～80%之间。</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4</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3.5.2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满意度在80%～90%之间。</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6</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3.5.3</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满意度在90%～95%之间。</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8</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3.5.4</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满意度在95%以上。</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3.6</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游客构成</w:t>
            </w: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3.6.1</w:t>
            </w:r>
          </w:p>
        </w:tc>
        <w:tc>
          <w:tcPr>
            <w:tcW w:w="6476" w:type="dxa"/>
            <w:noWrap w:val="0"/>
            <w:vAlign w:val="center"/>
          </w:tcPr>
          <w:p>
            <w:pPr>
              <w:pStyle w:val="4"/>
              <w:numPr>
                <w:ilvl w:val="2"/>
                <w:numId w:val="0"/>
              </w:numPr>
              <w:spacing w:before="0" w:after="0" w:line="300" w:lineRule="exact"/>
              <w:rPr>
                <w:rFonts w:ascii="宋体" w:hAnsi="宋体" w:cs="等线"/>
                <w:color w:val="000000"/>
                <w:sz w:val="18"/>
                <w:szCs w:val="18"/>
              </w:rPr>
            </w:pPr>
            <w:r>
              <w:rPr>
                <w:rFonts w:hint="eastAsia" w:ascii="宋体" w:hAnsi="宋体" w:cs="等线"/>
                <w:sz w:val="18"/>
                <w:szCs w:val="18"/>
              </w:rPr>
              <w:t>每年接待省外游客达到50%以上。</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7</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3.6.2</w:t>
            </w:r>
          </w:p>
        </w:tc>
        <w:tc>
          <w:tcPr>
            <w:tcW w:w="6476"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每年接待一定数量的特殊游客，如影视制作和艺术写生等。</w:t>
            </w: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3</w:t>
            </w: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jc w:val="center"/>
              <w:rPr>
                <w:rFonts w:ascii="宋体" w:hAnsi="宋体" w:cs="等线"/>
                <w:color w:val="000000"/>
                <w:sz w:val="18"/>
                <w:szCs w:val="18"/>
              </w:rPr>
            </w:pPr>
            <w:r>
              <w:rPr>
                <w:rFonts w:hint="eastAsia" w:ascii="宋体" w:hAnsi="宋体" w:cs="等线"/>
                <w:color w:val="000000"/>
                <w:sz w:val="18"/>
                <w:szCs w:val="18"/>
              </w:rPr>
              <w:t>合计得分</w:t>
            </w:r>
          </w:p>
        </w:tc>
        <w:tc>
          <w:tcPr>
            <w:tcW w:w="6476" w:type="dxa"/>
            <w:noWrap w:val="0"/>
            <w:vAlign w:val="center"/>
          </w:tcPr>
          <w:p>
            <w:pPr>
              <w:spacing w:line="300" w:lineRule="exact"/>
              <w:rPr>
                <w:rFonts w:ascii="宋体" w:hAnsi="宋体" w:cs="等线"/>
                <w:color w:val="000000"/>
                <w:sz w:val="18"/>
                <w:szCs w:val="18"/>
              </w:rPr>
            </w:pPr>
          </w:p>
        </w:tc>
        <w:tc>
          <w:tcPr>
            <w:tcW w:w="750" w:type="dxa"/>
            <w:noWrap w:val="0"/>
            <w:vAlign w:val="center"/>
          </w:tcPr>
          <w:p>
            <w:pPr>
              <w:spacing w:line="300" w:lineRule="exact"/>
              <w:rPr>
                <w:rFonts w:ascii="宋体" w:hAnsi="宋体" w:cs="等线"/>
                <w:color w:val="000000"/>
                <w:sz w:val="18"/>
                <w:szCs w:val="18"/>
              </w:rPr>
            </w:pPr>
            <w:r>
              <w:rPr>
                <w:rFonts w:hint="eastAsia" w:ascii="宋体" w:hAnsi="宋体" w:cs="等线"/>
                <w:color w:val="000000"/>
                <w:sz w:val="18"/>
                <w:szCs w:val="18"/>
              </w:rPr>
              <w:t>1000</w:t>
            </w: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959" w:type="dxa"/>
            <w:noWrap w:val="0"/>
            <w:vAlign w:val="center"/>
          </w:tcPr>
          <w:p>
            <w:pPr>
              <w:spacing w:line="300" w:lineRule="exact"/>
              <w:jc w:val="center"/>
              <w:rPr>
                <w:rFonts w:ascii="宋体" w:hAnsi="宋体" w:cs="等线"/>
                <w:color w:val="000000"/>
                <w:sz w:val="18"/>
                <w:szCs w:val="18"/>
              </w:rPr>
            </w:pPr>
            <w:r>
              <w:rPr>
                <w:rFonts w:hint="eastAsia" w:ascii="宋体" w:hAnsi="宋体" w:cs="等线"/>
                <w:color w:val="000000"/>
                <w:sz w:val="18"/>
                <w:szCs w:val="18"/>
              </w:rPr>
              <w:t>总计得分</w:t>
            </w:r>
          </w:p>
        </w:tc>
        <w:tc>
          <w:tcPr>
            <w:tcW w:w="6476" w:type="dxa"/>
            <w:noWrap w:val="0"/>
            <w:vAlign w:val="center"/>
          </w:tcPr>
          <w:p>
            <w:pPr>
              <w:spacing w:line="300" w:lineRule="exact"/>
              <w:rPr>
                <w:rFonts w:ascii="宋体" w:hAnsi="宋体" w:cs="等线"/>
                <w:color w:val="000000"/>
                <w:sz w:val="18"/>
                <w:szCs w:val="18"/>
              </w:rPr>
            </w:pPr>
          </w:p>
        </w:tc>
        <w:tc>
          <w:tcPr>
            <w:tcW w:w="750" w:type="dxa"/>
            <w:noWrap w:val="0"/>
            <w:vAlign w:val="center"/>
          </w:tcPr>
          <w:p>
            <w:pPr>
              <w:spacing w:line="300" w:lineRule="exact"/>
              <w:rPr>
                <w:rFonts w:ascii="宋体" w:hAnsi="宋体" w:cs="等线"/>
                <w:color w:val="000000"/>
                <w:sz w:val="18"/>
                <w:szCs w:val="18"/>
              </w:rPr>
            </w:pPr>
          </w:p>
        </w:tc>
        <w:tc>
          <w:tcPr>
            <w:tcW w:w="735" w:type="dxa"/>
            <w:noWrap w:val="0"/>
            <w:vAlign w:val="center"/>
          </w:tcPr>
          <w:p>
            <w:pPr>
              <w:spacing w:line="300" w:lineRule="exact"/>
              <w:rPr>
                <w:rFonts w:ascii="宋体" w:hAnsi="宋体" w:cs="等线"/>
                <w:color w:val="000000"/>
                <w:sz w:val="18"/>
                <w:szCs w:val="18"/>
              </w:rPr>
            </w:pPr>
          </w:p>
        </w:tc>
        <w:tc>
          <w:tcPr>
            <w:tcW w:w="651" w:type="dxa"/>
            <w:noWrap w:val="0"/>
            <w:vAlign w:val="center"/>
          </w:tcPr>
          <w:p>
            <w:pPr>
              <w:spacing w:line="300" w:lineRule="exact"/>
              <w:rPr>
                <w:rFonts w:ascii="宋体" w:hAnsi="宋体" w:cs="等线"/>
                <w:color w:val="000000"/>
                <w:sz w:val="18"/>
                <w:szCs w:val="18"/>
              </w:rPr>
            </w:pPr>
          </w:p>
        </w:tc>
      </w:tr>
    </w:tbl>
    <w:p>
      <w:pPr>
        <w:pStyle w:val="29"/>
        <w:rPr>
          <w:rFonts w:hint="eastAsia"/>
        </w:rPr>
      </w:pPr>
    </w:p>
    <w:p>
      <w:pPr>
        <w:pStyle w:val="131"/>
        <w:rPr>
          <w:rFonts w:hint="eastAsia"/>
        </w:rPr>
      </w:pPr>
      <w:r>
        <w:t>_________________________________</w:t>
      </w: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PAGE  \* MERGEFORMAT </w:instrText>
    </w:r>
    <w:r>
      <w:fldChar w:fldCharType="separate"/>
    </w:r>
    <w: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WordPictureWatermark344427455" o:spid="_x0000_s2051" o:spt="75" type="#_x0000_t75" style="position:absolute;left:0pt;height:305.2pt;width:305.2pt;mso-position-horizontal:center;mso-position-horizontal-relative:margin;mso-position-vertical:center;mso-position-vertical-relative:margin;z-index:-251656192;mso-width-relative:page;mso-height-relative:page;" filled="f" stroked="f" coordsize="21600,21600" o:allowincell="f">
          <v:path/>
          <v:fill on="f" focussize="0,0"/>
          <v:stroke on="f"/>
          <v:imagedata r:id="rId1" gain="19661f" blacklevel="22938f" o:title="logo"/>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pict>
        <v:shape id="WordPictureWatermark344427454" o:spid="_x0000_s2050" o:spt="75" type="#_x0000_t75" style="position:absolute;left:0pt;height:305.2pt;width:305.2pt;mso-position-horizontal:center;mso-position-horizontal-relative:margin;mso-position-vertical:center;mso-position-vertical-relative:margin;z-index:-251657216;mso-width-relative:page;mso-height-relative:page;" filled="f" stroked="f" coordsize="21600,21600" o:allowincell="f">
          <v:path/>
          <v:fill on="f" focussize="0,0"/>
          <v:stroke on="f"/>
          <v:imagedata r:id="rId1" gain="19661f" blacklevel="22938f" o:title="logo"/>
          <o:lock v:ext="edit" aspectratio="t"/>
        </v:shape>
      </w:pict>
    </w:r>
    <w:r>
      <w:t>Q/CZL 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WordPictureWatermark344427453" o:spid="_x0000_s2049" o:spt="75" type="#_x0000_t75" style="position:absolute;left:0pt;height:305.2pt;width:305.2pt;mso-position-horizontal:center;mso-position-horizontal-relative:margin;mso-position-vertical:center;mso-position-vertical-relative:margin;z-index:-251658240;mso-width-relative:page;mso-height-relative:page;" filled="f" stroked="f" coordsize="21600,21600" o:allowincell="f">
          <v:path/>
          <v:fill on="f" focussize="0,0"/>
          <v:stroke on="f"/>
          <v:imagedata r:id="rId1" gain="19661f" blacklevel="22938f" o:title="logo"/>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pict>
        <v:shape id="WordPictureWatermark344427458" o:spid="_x0000_s2054" o:spt="75" type="#_x0000_t75" style="position:absolute;left:0pt;height:305.2pt;width:305.2pt;mso-position-horizontal:center;mso-position-horizontal-relative:margin;mso-position-vertical:center;mso-position-vertical-relative:margin;z-index:-251653120;mso-width-relative:page;mso-height-relative:page;" filled="f" stroked="f" coordsize="21600,21600" o:allowincell="f">
          <v:path/>
          <v:fill on="f" focussize="0,0"/>
          <v:stroke on="f"/>
          <v:imagedata r:id="rId1" gain="19661f" blacklevel="22938f" o:title="logo"/>
          <o:lock v:ext="edit" aspectratio="t"/>
        </v:shape>
      </w:pict>
    </w:r>
    <w:r>
      <w:t>Q/CZLX 1—2019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left"/>
    </w:pPr>
    <w:r>
      <w:t>Q/CZLX 1—2019</w:t>
    </w:r>
    <w:r>
      <w:pict>
        <v:shape id="WordPictureWatermark344427457" o:spid="_x0000_s2053" o:spt="75" type="#_x0000_t75" style="position:absolute;left:0pt;height:305.2pt;width:305.2pt;mso-position-horizontal:center;mso-position-horizontal-relative:margin;mso-position-vertical:center;mso-position-vertical-relative:margin;z-index:-251654144;mso-width-relative:page;mso-height-relative:page;" filled="f" stroked="f" coordsize="21600,21600" o:allowincell="f">
          <v:path/>
          <v:fill on="f" focussize="0,0"/>
          <v:stroke on="f"/>
          <v:imagedata r:id="rId1" gain="19661f" blacklevel="22938f" o:title="logo"/>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WordPictureWatermark344427456" o:spid="_x0000_s2052" o:spt="75" type="#_x0000_t75" style="position:absolute;left:0pt;height:305.2pt;width:305.2pt;mso-position-horizontal:center;mso-position-horizontal-relative:margin;mso-position-vertical:center;mso-position-vertical-relative:margin;z-index:-251655168;mso-width-relative:page;mso-height-relative:page;" filled="f" stroked="f" coordsize="21600,21600" o:allowincell="f">
          <v:path/>
          <v:fill on="f" focussize="0,0"/>
          <v:stroke on="f"/>
          <v:imagedata r:id="rId1" gain="19661f" blacklevel="22938f" o:title="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5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99F3736"/>
    <w:multiLevelType w:val="multilevel"/>
    <w:tmpl w:val="299F3736"/>
    <w:lvl w:ilvl="0" w:tentative="0">
      <w:start w:val="1"/>
      <w:numFmt w:val="decimal"/>
      <w:pStyle w:val="52"/>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7"/>
      <w:suff w:val="nothing"/>
      <w:lvlText w:val="%1——"/>
      <w:lvlJc w:val="left"/>
      <w:pPr>
        <w:ind w:left="833" w:hanging="408"/>
      </w:pPr>
      <w:rPr>
        <w:rFonts w:hint="eastAsia"/>
      </w:rPr>
    </w:lvl>
    <w:lvl w:ilvl="1" w:tentative="0">
      <w:start w:val="1"/>
      <w:numFmt w:val="bullet"/>
      <w:pStyle w:val="58"/>
      <w:lvlText w:val=""/>
      <w:lvlJc w:val="left"/>
      <w:pPr>
        <w:tabs>
          <w:tab w:val="left" w:pos="760"/>
        </w:tabs>
        <w:ind w:left="1264" w:hanging="413"/>
      </w:pPr>
      <w:rPr>
        <w:rFonts w:hint="default" w:ascii="Symbol" w:hAnsi="Symbol"/>
        <w:color w:val="auto"/>
      </w:rPr>
    </w:lvl>
    <w:lvl w:ilvl="2" w:tentative="0">
      <w:start w:val="1"/>
      <w:numFmt w:val="bullet"/>
      <w:pStyle w:val="6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30"/>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6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2"/>
      <w:lvlText w:val="%2)"/>
      <w:lvlJc w:val="left"/>
      <w:pPr>
        <w:tabs>
          <w:tab w:val="left" w:pos="1260"/>
        </w:tabs>
        <w:ind w:left="1259" w:hanging="419"/>
      </w:pPr>
      <w:rPr>
        <w:rFonts w:hint="eastAsia"/>
      </w:rPr>
    </w:lvl>
    <w:lvl w:ilvl="2" w:tentative="0">
      <w:start w:val="1"/>
      <w:numFmt w:val="decimal"/>
      <w:pStyle w:val="6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6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3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90"/>
      <w:lvlText w:val="%1"/>
      <w:lvlJc w:val="left"/>
      <w:pPr>
        <w:tabs>
          <w:tab w:val="left" w:pos="0"/>
        </w:tabs>
        <w:ind w:left="0" w:hanging="425"/>
      </w:pPr>
      <w:rPr>
        <w:rFonts w:hint="eastAsia"/>
      </w:rPr>
    </w:lvl>
    <w:lvl w:ilvl="1" w:tentative="0">
      <w:start w:val="1"/>
      <w:numFmt w:val="decimal"/>
      <w:pStyle w:val="9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2"/>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C6AE2B6"/>
    <w:multiLevelType w:val="multilevel"/>
    <w:tmpl w:val="6C6AE2B6"/>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7">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6"/>
  </w:num>
  <w:num w:numId="2">
    <w:abstractNumId w:val="9"/>
  </w:num>
  <w:num w:numId="3">
    <w:abstractNumId w:val="5"/>
  </w:num>
  <w:num w:numId="4">
    <w:abstractNumId w:val="6"/>
  </w:num>
  <w:num w:numId="5">
    <w:abstractNumId w:val="8"/>
  </w:num>
  <w:num w:numId="6">
    <w:abstractNumId w:val="2"/>
  </w:num>
  <w:num w:numId="7">
    <w:abstractNumId w:val="10"/>
  </w:num>
  <w:num w:numId="8">
    <w:abstractNumId w:val="18"/>
  </w:num>
  <w:num w:numId="9">
    <w:abstractNumId w:val="0"/>
  </w:num>
  <w:num w:numId="10">
    <w:abstractNumId w:val="11"/>
  </w:num>
  <w:num w:numId="11">
    <w:abstractNumId w:val="4"/>
  </w:num>
  <w:num w:numId="12">
    <w:abstractNumId w:val="15"/>
  </w:num>
  <w:num w:numId="13">
    <w:abstractNumId w:val="13"/>
  </w:num>
  <w:num w:numId="14">
    <w:abstractNumId w:val="17"/>
  </w:num>
  <w:num w:numId="15">
    <w:abstractNumId w:val="7"/>
  </w:num>
  <w:num w:numId="16">
    <w:abstractNumId w:val="1"/>
  </w:num>
  <w:num w:numId="17">
    <w:abstractNumId w:val="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25"/>
    <w:rsid w:val="00000244"/>
    <w:rsid w:val="0000185F"/>
    <w:rsid w:val="0000586F"/>
    <w:rsid w:val="00013D86"/>
    <w:rsid w:val="00013E02"/>
    <w:rsid w:val="0002143C"/>
    <w:rsid w:val="00025A65"/>
    <w:rsid w:val="00026C31"/>
    <w:rsid w:val="00027280"/>
    <w:rsid w:val="000320A7"/>
    <w:rsid w:val="00035925"/>
    <w:rsid w:val="000464D0"/>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E7024"/>
    <w:rsid w:val="000F030C"/>
    <w:rsid w:val="000F129C"/>
    <w:rsid w:val="000F141A"/>
    <w:rsid w:val="00102A48"/>
    <w:rsid w:val="001056DE"/>
    <w:rsid w:val="001124C0"/>
    <w:rsid w:val="00120C34"/>
    <w:rsid w:val="00122B1E"/>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01FC4"/>
    <w:rsid w:val="00211F94"/>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1BE"/>
    <w:rsid w:val="002E64C3"/>
    <w:rsid w:val="002E6A2C"/>
    <w:rsid w:val="002F1D8C"/>
    <w:rsid w:val="002F21DA"/>
    <w:rsid w:val="002F296F"/>
    <w:rsid w:val="002F70F4"/>
    <w:rsid w:val="00300D2D"/>
    <w:rsid w:val="00301F39"/>
    <w:rsid w:val="00322AD4"/>
    <w:rsid w:val="00325926"/>
    <w:rsid w:val="00327A8A"/>
    <w:rsid w:val="00336610"/>
    <w:rsid w:val="00343F73"/>
    <w:rsid w:val="00345060"/>
    <w:rsid w:val="0035323B"/>
    <w:rsid w:val="003609D2"/>
    <w:rsid w:val="00363F22"/>
    <w:rsid w:val="00366D88"/>
    <w:rsid w:val="00372048"/>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07002"/>
    <w:rsid w:val="00407DE7"/>
    <w:rsid w:val="00425082"/>
    <w:rsid w:val="00431DEB"/>
    <w:rsid w:val="004334D4"/>
    <w:rsid w:val="00443426"/>
    <w:rsid w:val="00446B29"/>
    <w:rsid w:val="00453F9A"/>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1726"/>
    <w:rsid w:val="0054264B"/>
    <w:rsid w:val="00543786"/>
    <w:rsid w:val="005533D7"/>
    <w:rsid w:val="00564DFB"/>
    <w:rsid w:val="005703DE"/>
    <w:rsid w:val="00570FCA"/>
    <w:rsid w:val="005764A4"/>
    <w:rsid w:val="0058464E"/>
    <w:rsid w:val="00586A86"/>
    <w:rsid w:val="00587E96"/>
    <w:rsid w:val="005A01CB"/>
    <w:rsid w:val="005A469B"/>
    <w:rsid w:val="005A58FF"/>
    <w:rsid w:val="005A5EAF"/>
    <w:rsid w:val="005A64C0"/>
    <w:rsid w:val="005B3C11"/>
    <w:rsid w:val="005C1C28"/>
    <w:rsid w:val="005C6DB5"/>
    <w:rsid w:val="005E19E7"/>
    <w:rsid w:val="005F5BCC"/>
    <w:rsid w:val="0061716C"/>
    <w:rsid w:val="006209FD"/>
    <w:rsid w:val="006243A1"/>
    <w:rsid w:val="00626495"/>
    <w:rsid w:val="00632E56"/>
    <w:rsid w:val="00635CBA"/>
    <w:rsid w:val="00635D41"/>
    <w:rsid w:val="0064338B"/>
    <w:rsid w:val="00644510"/>
    <w:rsid w:val="00646542"/>
    <w:rsid w:val="006504F4"/>
    <w:rsid w:val="00654BC9"/>
    <w:rsid w:val="006552FD"/>
    <w:rsid w:val="00663AF3"/>
    <w:rsid w:val="00666B6C"/>
    <w:rsid w:val="00682682"/>
    <w:rsid w:val="00682702"/>
    <w:rsid w:val="0069026D"/>
    <w:rsid w:val="00692368"/>
    <w:rsid w:val="00696699"/>
    <w:rsid w:val="006A2EBC"/>
    <w:rsid w:val="006A5EA0"/>
    <w:rsid w:val="006A783B"/>
    <w:rsid w:val="006A7B33"/>
    <w:rsid w:val="006B4E13"/>
    <w:rsid w:val="006B75DD"/>
    <w:rsid w:val="006C67E0"/>
    <w:rsid w:val="006C7ABA"/>
    <w:rsid w:val="006D0D60"/>
    <w:rsid w:val="006D1122"/>
    <w:rsid w:val="006D3C00"/>
    <w:rsid w:val="006E3675"/>
    <w:rsid w:val="006E4A7F"/>
    <w:rsid w:val="006E75E7"/>
    <w:rsid w:val="006F6C22"/>
    <w:rsid w:val="006F77DB"/>
    <w:rsid w:val="00704DF6"/>
    <w:rsid w:val="0070651C"/>
    <w:rsid w:val="007132A3"/>
    <w:rsid w:val="00716421"/>
    <w:rsid w:val="00724885"/>
    <w:rsid w:val="00724EFB"/>
    <w:rsid w:val="007419C3"/>
    <w:rsid w:val="00743463"/>
    <w:rsid w:val="007467A7"/>
    <w:rsid w:val="007469DD"/>
    <w:rsid w:val="0074741B"/>
    <w:rsid w:val="0074759E"/>
    <w:rsid w:val="007478EA"/>
    <w:rsid w:val="0075415C"/>
    <w:rsid w:val="00763502"/>
    <w:rsid w:val="00790B61"/>
    <w:rsid w:val="007913AB"/>
    <w:rsid w:val="007914F7"/>
    <w:rsid w:val="007A69FD"/>
    <w:rsid w:val="007B1625"/>
    <w:rsid w:val="007B706E"/>
    <w:rsid w:val="007B71EB"/>
    <w:rsid w:val="007C1AF5"/>
    <w:rsid w:val="007C6205"/>
    <w:rsid w:val="007C686A"/>
    <w:rsid w:val="007C728E"/>
    <w:rsid w:val="007D2C53"/>
    <w:rsid w:val="007D3D60"/>
    <w:rsid w:val="007E1980"/>
    <w:rsid w:val="007E4B76"/>
    <w:rsid w:val="007E5EA8"/>
    <w:rsid w:val="007F0CF1"/>
    <w:rsid w:val="007F12A5"/>
    <w:rsid w:val="007F4CF1"/>
    <w:rsid w:val="007F758D"/>
    <w:rsid w:val="007F7D52"/>
    <w:rsid w:val="00801B5B"/>
    <w:rsid w:val="0080654C"/>
    <w:rsid w:val="008071C6"/>
    <w:rsid w:val="00817A00"/>
    <w:rsid w:val="008262CC"/>
    <w:rsid w:val="00835DB3"/>
    <w:rsid w:val="0083617B"/>
    <w:rsid w:val="008371BD"/>
    <w:rsid w:val="008504A8"/>
    <w:rsid w:val="0085282E"/>
    <w:rsid w:val="0087198C"/>
    <w:rsid w:val="00872C1F"/>
    <w:rsid w:val="00873B42"/>
    <w:rsid w:val="008856D8"/>
    <w:rsid w:val="00892E82"/>
    <w:rsid w:val="008B682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6B7"/>
    <w:rsid w:val="009617C9"/>
    <w:rsid w:val="00961C93"/>
    <w:rsid w:val="00965324"/>
    <w:rsid w:val="0097091E"/>
    <w:rsid w:val="009760D3"/>
    <w:rsid w:val="00977132"/>
    <w:rsid w:val="00981A4B"/>
    <w:rsid w:val="00982501"/>
    <w:rsid w:val="009877D3"/>
    <w:rsid w:val="00994E8F"/>
    <w:rsid w:val="009951DC"/>
    <w:rsid w:val="009959BB"/>
    <w:rsid w:val="00995EC8"/>
    <w:rsid w:val="00997158"/>
    <w:rsid w:val="009A3A7C"/>
    <w:rsid w:val="009B2ADB"/>
    <w:rsid w:val="009B603A"/>
    <w:rsid w:val="009C2D0E"/>
    <w:rsid w:val="009C3DAC"/>
    <w:rsid w:val="009C42E0"/>
    <w:rsid w:val="009D5362"/>
    <w:rsid w:val="009E1415"/>
    <w:rsid w:val="009E6116"/>
    <w:rsid w:val="00A02E43"/>
    <w:rsid w:val="00A065F9"/>
    <w:rsid w:val="00A07F34"/>
    <w:rsid w:val="00A10794"/>
    <w:rsid w:val="00A2011C"/>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B742D"/>
    <w:rsid w:val="00AC05B1"/>
    <w:rsid w:val="00AD356C"/>
    <w:rsid w:val="00AE2914"/>
    <w:rsid w:val="00AE6D15"/>
    <w:rsid w:val="00B04182"/>
    <w:rsid w:val="00B07AE3"/>
    <w:rsid w:val="00B11430"/>
    <w:rsid w:val="00B353EB"/>
    <w:rsid w:val="00B439C4"/>
    <w:rsid w:val="00B4535E"/>
    <w:rsid w:val="00B51D0B"/>
    <w:rsid w:val="00B52A8C"/>
    <w:rsid w:val="00B61602"/>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1880"/>
    <w:rsid w:val="00C2314B"/>
    <w:rsid w:val="00C24971"/>
    <w:rsid w:val="00C26BE5"/>
    <w:rsid w:val="00C26E4D"/>
    <w:rsid w:val="00C27909"/>
    <w:rsid w:val="00C27B03"/>
    <w:rsid w:val="00C314E1"/>
    <w:rsid w:val="00C323BA"/>
    <w:rsid w:val="00C34397"/>
    <w:rsid w:val="00C4095D"/>
    <w:rsid w:val="00C601D2"/>
    <w:rsid w:val="00C657AB"/>
    <w:rsid w:val="00C65BCC"/>
    <w:rsid w:val="00C66970"/>
    <w:rsid w:val="00C8691C"/>
    <w:rsid w:val="00CA168A"/>
    <w:rsid w:val="00CA357E"/>
    <w:rsid w:val="00CA44F9"/>
    <w:rsid w:val="00CA4A69"/>
    <w:rsid w:val="00CC3E0C"/>
    <w:rsid w:val="00CC58D3"/>
    <w:rsid w:val="00CC6015"/>
    <w:rsid w:val="00CC784D"/>
    <w:rsid w:val="00D0337B"/>
    <w:rsid w:val="00D079B2"/>
    <w:rsid w:val="00D114E9"/>
    <w:rsid w:val="00D429C6"/>
    <w:rsid w:val="00D442CD"/>
    <w:rsid w:val="00D47748"/>
    <w:rsid w:val="00D54CC3"/>
    <w:rsid w:val="00D6041A"/>
    <w:rsid w:val="00D633EB"/>
    <w:rsid w:val="00D76A84"/>
    <w:rsid w:val="00D82FF7"/>
    <w:rsid w:val="00D847FE"/>
    <w:rsid w:val="00D964EA"/>
    <w:rsid w:val="00D966D0"/>
    <w:rsid w:val="00DA0C59"/>
    <w:rsid w:val="00DA3016"/>
    <w:rsid w:val="00DA3991"/>
    <w:rsid w:val="00DB7E6C"/>
    <w:rsid w:val="00DD5A29"/>
    <w:rsid w:val="00DD5D9D"/>
    <w:rsid w:val="00DE35CB"/>
    <w:rsid w:val="00DF21E9"/>
    <w:rsid w:val="00E00F14"/>
    <w:rsid w:val="00E05418"/>
    <w:rsid w:val="00E06386"/>
    <w:rsid w:val="00E20186"/>
    <w:rsid w:val="00E20FFC"/>
    <w:rsid w:val="00E24EB4"/>
    <w:rsid w:val="00E320ED"/>
    <w:rsid w:val="00E33AFB"/>
    <w:rsid w:val="00E34218"/>
    <w:rsid w:val="00E46282"/>
    <w:rsid w:val="00E5216E"/>
    <w:rsid w:val="00E71F07"/>
    <w:rsid w:val="00E82344"/>
    <w:rsid w:val="00E84C82"/>
    <w:rsid w:val="00E84D64"/>
    <w:rsid w:val="00E87408"/>
    <w:rsid w:val="00E914C4"/>
    <w:rsid w:val="00E934F5"/>
    <w:rsid w:val="00E96166"/>
    <w:rsid w:val="00E96961"/>
    <w:rsid w:val="00EA35D3"/>
    <w:rsid w:val="00EA72EC"/>
    <w:rsid w:val="00EB11CB"/>
    <w:rsid w:val="00EB21AB"/>
    <w:rsid w:val="00EB275A"/>
    <w:rsid w:val="00EB786A"/>
    <w:rsid w:val="00EC1578"/>
    <w:rsid w:val="00EC1C72"/>
    <w:rsid w:val="00EC3CC9"/>
    <w:rsid w:val="00EC680A"/>
    <w:rsid w:val="00EE2BED"/>
    <w:rsid w:val="00EE374B"/>
    <w:rsid w:val="00F07C34"/>
    <w:rsid w:val="00F11BB5"/>
    <w:rsid w:val="00F1417B"/>
    <w:rsid w:val="00F34B99"/>
    <w:rsid w:val="00F52DAB"/>
    <w:rsid w:val="00F543F0"/>
    <w:rsid w:val="00F81D29"/>
    <w:rsid w:val="00F91C4D"/>
    <w:rsid w:val="00F92FD9"/>
    <w:rsid w:val="00FA30A5"/>
    <w:rsid w:val="00FA6684"/>
    <w:rsid w:val="00FA731E"/>
    <w:rsid w:val="00FB2B38"/>
    <w:rsid w:val="00FC6358"/>
    <w:rsid w:val="00FD320D"/>
    <w:rsid w:val="00FE23DE"/>
    <w:rsid w:val="02AE01BE"/>
    <w:rsid w:val="2DC76D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6"/>
    <w:qFormat/>
    <w:uiPriority w:val="0"/>
    <w:pPr>
      <w:keepNext/>
      <w:keepLines/>
      <w:numPr>
        <w:ilvl w:val="0"/>
        <w:numId w:val="1"/>
      </w:numPr>
      <w:ind w:left="0" w:firstLine="651" w:firstLineChars="200"/>
      <w:outlineLvl w:val="0"/>
    </w:pPr>
    <w:rPr>
      <w:rFonts w:ascii="黑体" w:hAnsi="黑体" w:eastAsia="黑体"/>
      <w:bCs/>
      <w:kern w:val="44"/>
      <w:sz w:val="32"/>
      <w:szCs w:val="44"/>
    </w:rPr>
  </w:style>
  <w:style w:type="paragraph" w:styleId="3">
    <w:name w:val="heading 2"/>
    <w:basedOn w:val="1"/>
    <w:next w:val="1"/>
    <w:link w:val="147"/>
    <w:unhideWhenUsed/>
    <w:qFormat/>
    <w:uiPriority w:val="0"/>
    <w:pPr>
      <w:keepNext/>
      <w:keepLines/>
      <w:numPr>
        <w:ilvl w:val="1"/>
        <w:numId w:val="1"/>
      </w:numPr>
      <w:ind w:left="0" w:firstLine="200" w:firstLineChars="200"/>
      <w:outlineLvl w:val="1"/>
    </w:pPr>
    <w:rPr>
      <w:rFonts w:ascii="楷体_GB2312" w:hAnsi="Calibri Light" w:eastAsia="楷体_GB2312" w:cs="Times New Roman"/>
      <w:bCs/>
      <w:sz w:val="32"/>
      <w:szCs w:val="32"/>
    </w:rPr>
  </w:style>
  <w:style w:type="paragraph" w:styleId="4">
    <w:name w:val="heading 3"/>
    <w:basedOn w:val="1"/>
    <w:next w:val="1"/>
    <w:link w:val="148"/>
    <w:unhideWhenUsed/>
    <w:qFormat/>
    <w:uiPriority w:val="0"/>
    <w:pPr>
      <w:keepNext/>
      <w:keepLines/>
      <w:numPr>
        <w:ilvl w:val="2"/>
        <w:numId w:val="1"/>
      </w:numPr>
      <w:spacing w:before="20" w:after="20" w:line="240" w:lineRule="exact"/>
      <w:outlineLvl w:val="2"/>
    </w:pPr>
  </w:style>
  <w:style w:type="paragraph" w:styleId="5">
    <w:name w:val="heading 4"/>
    <w:basedOn w:val="1"/>
    <w:next w:val="1"/>
    <w:link w:val="149"/>
    <w:unhideWhenUsed/>
    <w:qFormat/>
    <w:uiPriority w:val="0"/>
    <w:pPr>
      <w:keepNext/>
      <w:keepLines/>
      <w:numPr>
        <w:ilvl w:val="3"/>
        <w:numId w:val="1"/>
      </w:numPr>
      <w:spacing w:before="280" w:after="290" w:line="372" w:lineRule="auto"/>
      <w:outlineLvl w:val="3"/>
    </w:pPr>
    <w:rPr>
      <w:rFonts w:ascii="Arial" w:hAnsi="Arial"/>
    </w:rPr>
  </w:style>
  <w:style w:type="paragraph" w:styleId="6">
    <w:name w:val="heading 5"/>
    <w:basedOn w:val="1"/>
    <w:next w:val="1"/>
    <w:link w:val="150"/>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link w:val="15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link w:val="152"/>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link w:val="153"/>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link w:val="154"/>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37">
    <w:name w:val="Default Paragraph Font"/>
    <w:semiHidden/>
    <w:uiPriority w:val="0"/>
  </w:style>
  <w:style w:type="table" w:default="1" w:styleId="43">
    <w:name w:val="Normal Table"/>
    <w:semiHidden/>
    <w:uiPriority w:val="0"/>
    <w:tblPr>
      <w:tblLayout w:type="fixed"/>
      <w:tblCellMar>
        <w:top w:w="0" w:type="dxa"/>
        <w:left w:w="108" w:type="dxa"/>
        <w:bottom w:w="0" w:type="dxa"/>
        <w:right w:w="108" w:type="dxa"/>
      </w:tblCellMar>
    </w:tblPr>
  </w:style>
  <w:style w:type="paragraph" w:styleId="11">
    <w:name w:val="toc 7"/>
    <w:basedOn w:val="1"/>
    <w:next w:val="1"/>
    <w:semiHidden/>
    <w:uiPriority w:val="0"/>
    <w:pPr>
      <w:tabs>
        <w:tab w:val="right" w:leader="dot" w:pos="9241"/>
      </w:tabs>
      <w:ind w:firstLine="500" w:firstLineChars="500"/>
      <w:jc w:val="left"/>
    </w:pPr>
    <w:rPr>
      <w:rFonts w:ascii="宋体"/>
      <w:szCs w:val="21"/>
    </w:rPr>
  </w:style>
  <w:style w:type="paragraph" w:styleId="12">
    <w:name w:val="index 8"/>
    <w:basedOn w:val="1"/>
    <w:next w:val="1"/>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uiPriority w:val="0"/>
    <w:pPr>
      <w:ind w:left="1050" w:hanging="210"/>
      <w:jc w:val="left"/>
    </w:pPr>
    <w:rPr>
      <w:rFonts w:ascii="Calibri" w:hAnsi="Calibri"/>
      <w:sz w:val="20"/>
      <w:szCs w:val="20"/>
    </w:rPr>
  </w:style>
  <w:style w:type="paragraph" w:styleId="15">
    <w:name w:val="Document Map"/>
    <w:basedOn w:val="1"/>
    <w:semiHidden/>
    <w:uiPriority w:val="0"/>
    <w:pPr>
      <w:shd w:val="clear" w:color="auto" w:fill="000080"/>
    </w:pPr>
  </w:style>
  <w:style w:type="paragraph" w:styleId="16">
    <w:name w:val="index 6"/>
    <w:basedOn w:val="1"/>
    <w:next w:val="1"/>
    <w:uiPriority w:val="0"/>
    <w:pPr>
      <w:ind w:left="1260" w:hanging="210"/>
      <w:jc w:val="left"/>
    </w:pPr>
    <w:rPr>
      <w:rFonts w:ascii="Calibri" w:hAnsi="Calibri"/>
      <w:sz w:val="20"/>
      <w:szCs w:val="20"/>
    </w:rPr>
  </w:style>
  <w:style w:type="paragraph" w:styleId="17">
    <w:name w:val="index 4"/>
    <w:basedOn w:val="1"/>
    <w:next w:val="1"/>
    <w:uiPriority w:val="0"/>
    <w:pPr>
      <w:ind w:left="840" w:hanging="210"/>
      <w:jc w:val="left"/>
    </w:pPr>
    <w:rPr>
      <w:rFonts w:ascii="Calibri" w:hAnsi="Calibri"/>
      <w:sz w:val="20"/>
      <w:szCs w:val="20"/>
    </w:rPr>
  </w:style>
  <w:style w:type="paragraph" w:styleId="18">
    <w:name w:val="toc 5"/>
    <w:basedOn w:val="1"/>
    <w:next w:val="1"/>
    <w:semiHidden/>
    <w:uiPriority w:val="0"/>
    <w:pPr>
      <w:tabs>
        <w:tab w:val="right" w:leader="dot" w:pos="9241"/>
      </w:tabs>
      <w:ind w:firstLine="300" w:firstLineChars="300"/>
      <w:jc w:val="left"/>
    </w:pPr>
    <w:rPr>
      <w:rFonts w:ascii="宋体"/>
      <w:szCs w:val="21"/>
    </w:rPr>
  </w:style>
  <w:style w:type="paragraph" w:styleId="19">
    <w:name w:val="toc 3"/>
    <w:basedOn w:val="1"/>
    <w:next w:val="1"/>
    <w:semiHidden/>
    <w:uiPriority w:val="0"/>
    <w:pPr>
      <w:tabs>
        <w:tab w:val="right" w:leader="dot" w:pos="9241"/>
      </w:tabs>
      <w:ind w:firstLine="100" w:firstLineChars="100"/>
      <w:jc w:val="left"/>
    </w:pPr>
    <w:rPr>
      <w:rFonts w:ascii="宋体"/>
      <w:szCs w:val="21"/>
    </w:rPr>
  </w:style>
  <w:style w:type="paragraph" w:styleId="20">
    <w:name w:val="toc 8"/>
    <w:basedOn w:val="1"/>
    <w:next w:val="1"/>
    <w:semiHidden/>
    <w:uiPriority w:val="0"/>
    <w:pPr>
      <w:tabs>
        <w:tab w:val="right" w:leader="dot" w:pos="9241"/>
      </w:tabs>
      <w:ind w:firstLine="607" w:firstLineChars="600"/>
      <w:jc w:val="left"/>
    </w:pPr>
    <w:rPr>
      <w:rFonts w:ascii="宋体"/>
      <w:szCs w:val="21"/>
    </w:rPr>
  </w:style>
  <w:style w:type="paragraph" w:styleId="21">
    <w:name w:val="index 3"/>
    <w:basedOn w:val="1"/>
    <w:next w:val="1"/>
    <w:uiPriority w:val="0"/>
    <w:pPr>
      <w:ind w:left="630" w:hanging="210"/>
      <w:jc w:val="left"/>
    </w:pPr>
    <w:rPr>
      <w:rFonts w:ascii="Calibri" w:hAnsi="Calibri"/>
      <w:sz w:val="20"/>
      <w:szCs w:val="20"/>
    </w:rPr>
  </w:style>
  <w:style w:type="paragraph" w:styleId="22">
    <w:name w:val="endnote text"/>
    <w:basedOn w:val="1"/>
    <w:semiHidden/>
    <w:uiPriority w:val="0"/>
    <w:pPr>
      <w:snapToGrid w:val="0"/>
      <w:jc w:val="left"/>
    </w:pPr>
  </w:style>
  <w:style w:type="paragraph" w:styleId="23">
    <w:name w:val="footer"/>
    <w:basedOn w:val="1"/>
    <w:link w:val="155"/>
    <w:qFormat/>
    <w:uiPriority w:val="0"/>
    <w:pPr>
      <w:snapToGrid w:val="0"/>
      <w:ind w:right="210" w:rightChars="100"/>
      <w:jc w:val="right"/>
    </w:pPr>
    <w:rPr>
      <w:sz w:val="18"/>
      <w:szCs w:val="18"/>
    </w:rPr>
  </w:style>
  <w:style w:type="paragraph" w:styleId="24">
    <w:name w:val="header"/>
    <w:basedOn w:val="1"/>
    <w:link w:val="156"/>
    <w:qFormat/>
    <w:uiPriority w:val="0"/>
    <w:pPr>
      <w:snapToGrid w:val="0"/>
      <w:jc w:val="left"/>
    </w:pPr>
    <w:rPr>
      <w:sz w:val="18"/>
      <w:szCs w:val="18"/>
    </w:rPr>
  </w:style>
  <w:style w:type="paragraph" w:styleId="25">
    <w:name w:val="toc 1"/>
    <w:basedOn w:val="1"/>
    <w:next w:val="1"/>
    <w:semiHidden/>
    <w:uiPriority w:val="0"/>
    <w:pPr>
      <w:tabs>
        <w:tab w:val="right" w:leader="dot" w:pos="9242"/>
      </w:tabs>
      <w:spacing w:before="25" w:beforeLines="25" w:after="25" w:afterLines="25"/>
      <w:jc w:val="left"/>
    </w:pPr>
    <w:rPr>
      <w:rFonts w:ascii="宋体"/>
      <w:szCs w:val="21"/>
    </w:rPr>
  </w:style>
  <w:style w:type="paragraph" w:styleId="26">
    <w:name w:val="toc 4"/>
    <w:basedOn w:val="1"/>
    <w:next w:val="1"/>
    <w:semiHidden/>
    <w:uiPriority w:val="0"/>
    <w:pPr>
      <w:tabs>
        <w:tab w:val="right" w:leader="dot" w:pos="9241"/>
      </w:tabs>
      <w:ind w:firstLine="200" w:firstLineChars="200"/>
      <w:jc w:val="left"/>
    </w:pPr>
    <w:rPr>
      <w:rFonts w:ascii="宋体"/>
      <w:szCs w:val="21"/>
    </w:rPr>
  </w:style>
  <w:style w:type="paragraph" w:styleId="27">
    <w:name w:val="index heading"/>
    <w:basedOn w:val="1"/>
    <w:next w:val="28"/>
    <w:uiPriority w:val="0"/>
    <w:pPr>
      <w:spacing w:before="120" w:after="120"/>
      <w:jc w:val="center"/>
    </w:pPr>
    <w:rPr>
      <w:rFonts w:ascii="Calibri" w:hAnsi="Calibri"/>
      <w:b/>
      <w:bCs/>
      <w:iCs/>
      <w:szCs w:val="20"/>
    </w:rPr>
  </w:style>
  <w:style w:type="paragraph" w:styleId="28">
    <w:name w:val="index 1"/>
    <w:basedOn w:val="1"/>
    <w:next w:val="29"/>
    <w:uiPriority w:val="0"/>
    <w:pPr>
      <w:tabs>
        <w:tab w:val="right" w:leader="dot" w:pos="9299"/>
      </w:tabs>
      <w:jc w:val="left"/>
    </w:pPr>
    <w:rPr>
      <w:rFonts w:ascii="宋体"/>
      <w:szCs w:val="21"/>
    </w:rPr>
  </w:style>
  <w:style w:type="paragraph" w:customStyle="1" w:styleId="29">
    <w:name w:val="段"/>
    <w:link w:val="1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0">
    <w:name w:val="footnote text"/>
    <w:basedOn w:val="1"/>
    <w:uiPriority w:val="0"/>
    <w:pPr>
      <w:numPr>
        <w:ilvl w:val="0"/>
        <w:numId w:val="2"/>
      </w:numPr>
      <w:snapToGrid w:val="0"/>
      <w:jc w:val="left"/>
    </w:pPr>
    <w:rPr>
      <w:rFonts w:ascii="宋体"/>
      <w:sz w:val="18"/>
      <w:szCs w:val="18"/>
    </w:rPr>
  </w:style>
  <w:style w:type="paragraph" w:styleId="31">
    <w:name w:val="toc 6"/>
    <w:basedOn w:val="1"/>
    <w:next w:val="1"/>
    <w:semiHidden/>
    <w:uiPriority w:val="0"/>
    <w:pPr>
      <w:tabs>
        <w:tab w:val="right" w:leader="dot" w:pos="9241"/>
      </w:tabs>
      <w:ind w:firstLine="400" w:firstLineChars="400"/>
      <w:jc w:val="left"/>
    </w:pPr>
    <w:rPr>
      <w:rFonts w:ascii="宋体"/>
      <w:szCs w:val="21"/>
    </w:rPr>
  </w:style>
  <w:style w:type="paragraph" w:styleId="32">
    <w:name w:val="index 7"/>
    <w:basedOn w:val="1"/>
    <w:next w:val="1"/>
    <w:uiPriority w:val="0"/>
    <w:pPr>
      <w:ind w:left="1470" w:hanging="210"/>
      <w:jc w:val="left"/>
    </w:pPr>
    <w:rPr>
      <w:rFonts w:ascii="Calibri" w:hAnsi="Calibri"/>
      <w:sz w:val="20"/>
      <w:szCs w:val="20"/>
    </w:rPr>
  </w:style>
  <w:style w:type="paragraph" w:styleId="33">
    <w:name w:val="index 9"/>
    <w:basedOn w:val="1"/>
    <w:next w:val="1"/>
    <w:uiPriority w:val="0"/>
    <w:pPr>
      <w:ind w:left="1890" w:hanging="210"/>
      <w:jc w:val="left"/>
    </w:pPr>
    <w:rPr>
      <w:rFonts w:ascii="Calibri" w:hAnsi="Calibri"/>
      <w:sz w:val="20"/>
      <w:szCs w:val="20"/>
    </w:rPr>
  </w:style>
  <w:style w:type="paragraph" w:styleId="34">
    <w:name w:val="toc 2"/>
    <w:basedOn w:val="1"/>
    <w:next w:val="1"/>
    <w:semiHidden/>
    <w:uiPriority w:val="0"/>
    <w:pPr>
      <w:tabs>
        <w:tab w:val="right" w:leader="dot" w:pos="9242"/>
      </w:tabs>
    </w:pPr>
    <w:rPr>
      <w:rFonts w:ascii="宋体"/>
      <w:szCs w:val="21"/>
    </w:rPr>
  </w:style>
  <w:style w:type="paragraph" w:styleId="35">
    <w:name w:val="toc 9"/>
    <w:basedOn w:val="1"/>
    <w:next w:val="1"/>
    <w:semiHidden/>
    <w:uiPriority w:val="0"/>
    <w:pPr>
      <w:ind w:left="1470"/>
      <w:jc w:val="left"/>
    </w:pPr>
    <w:rPr>
      <w:sz w:val="20"/>
      <w:szCs w:val="20"/>
    </w:rPr>
  </w:style>
  <w:style w:type="paragraph" w:styleId="36">
    <w:name w:val="index 2"/>
    <w:basedOn w:val="1"/>
    <w:next w:val="1"/>
    <w:uiPriority w:val="0"/>
    <w:pPr>
      <w:ind w:left="420" w:hanging="210"/>
      <w:jc w:val="left"/>
    </w:pPr>
    <w:rPr>
      <w:rFonts w:ascii="Calibri" w:hAnsi="Calibri"/>
      <w:sz w:val="20"/>
      <w:szCs w:val="20"/>
    </w:rPr>
  </w:style>
  <w:style w:type="character" w:styleId="38">
    <w:name w:val="endnote reference"/>
    <w:semiHidden/>
    <w:uiPriority w:val="0"/>
    <w:rPr>
      <w:vertAlign w:val="superscript"/>
    </w:rPr>
  </w:style>
  <w:style w:type="character" w:styleId="39">
    <w:name w:val="page number"/>
    <w:uiPriority w:val="0"/>
    <w:rPr>
      <w:rFonts w:ascii="Times New Roman" w:hAnsi="Times New Roman" w:eastAsia="宋体"/>
      <w:sz w:val="18"/>
    </w:rPr>
  </w:style>
  <w:style w:type="character" w:styleId="40">
    <w:name w:val="FollowedHyperlink"/>
    <w:uiPriority w:val="0"/>
    <w:rPr>
      <w:color w:val="800080"/>
      <w:u w:val="single"/>
    </w:rPr>
  </w:style>
  <w:style w:type="character" w:styleId="41">
    <w:name w:val="Hyperlink"/>
    <w:uiPriority w:val="0"/>
    <w:rPr>
      <w:color w:val="0000FF"/>
      <w:spacing w:val="0"/>
      <w:w w:val="100"/>
      <w:szCs w:val="21"/>
      <w:u w:val="single"/>
    </w:rPr>
  </w:style>
  <w:style w:type="character" w:styleId="42">
    <w:name w:val="footnote reference"/>
    <w:semiHidden/>
    <w:uiPriority w:val="0"/>
    <w:rPr>
      <w:vertAlign w:val="superscript"/>
    </w:rPr>
  </w:style>
  <w:style w:type="table" w:styleId="44">
    <w:name w:val="Table Grid"/>
    <w:basedOn w:val="4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45">
    <w:name w:val="章标题"/>
    <w:next w:val="29"/>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6">
    <w:name w:val="一级条标题"/>
    <w:next w:val="29"/>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7">
    <w:name w:val="二级无"/>
    <w:basedOn w:val="48"/>
    <w:qFormat/>
    <w:uiPriority w:val="0"/>
    <w:pPr>
      <w:spacing w:before="0" w:beforeLines="0" w:after="0" w:afterLines="0"/>
      <w:ind w:left="0" w:firstLine="0"/>
    </w:pPr>
    <w:rPr>
      <w:rFonts w:ascii="宋体" w:eastAsia="宋体"/>
    </w:rPr>
  </w:style>
  <w:style w:type="paragraph" w:customStyle="1" w:styleId="48">
    <w:name w:val="二级条标题"/>
    <w:basedOn w:val="46"/>
    <w:next w:val="29"/>
    <w:qFormat/>
    <w:uiPriority w:val="0"/>
    <w:pPr>
      <w:numPr>
        <w:ilvl w:val="2"/>
        <w:numId w:val="3"/>
      </w:numPr>
      <w:spacing w:before="50" w:after="50"/>
      <w:outlineLvl w:val="3"/>
    </w:pPr>
  </w:style>
  <w:style w:type="paragraph" w:customStyle="1" w:styleId="49">
    <w:name w:val="三级条标题"/>
    <w:basedOn w:val="48"/>
    <w:next w:val="29"/>
    <w:qFormat/>
    <w:uiPriority w:val="0"/>
    <w:pPr>
      <w:numPr>
        <w:ilvl w:val="3"/>
        <w:numId w:val="3"/>
      </w:numPr>
      <w:outlineLvl w:val="4"/>
    </w:pPr>
  </w:style>
  <w:style w:type="paragraph" w:customStyle="1" w:styleId="50">
    <w:name w:val="四级条标题"/>
    <w:basedOn w:val="49"/>
    <w:next w:val="29"/>
    <w:qFormat/>
    <w:uiPriority w:val="0"/>
    <w:pPr>
      <w:numPr>
        <w:ilvl w:val="4"/>
        <w:numId w:val="3"/>
      </w:numPr>
      <w:outlineLvl w:val="5"/>
    </w:pPr>
  </w:style>
  <w:style w:type="paragraph" w:customStyle="1" w:styleId="51">
    <w:name w:val="五级条标题"/>
    <w:basedOn w:val="50"/>
    <w:next w:val="29"/>
    <w:qFormat/>
    <w:uiPriority w:val="0"/>
    <w:pPr>
      <w:numPr>
        <w:ilvl w:val="5"/>
        <w:numId w:val="3"/>
      </w:numPr>
      <w:outlineLvl w:val="6"/>
    </w:pPr>
  </w:style>
  <w:style w:type="paragraph" w:customStyle="1" w:styleId="52">
    <w:name w:val="章标题1"/>
    <w:basedOn w:val="45"/>
    <w:qFormat/>
    <w:uiPriority w:val="0"/>
    <w:pPr>
      <w:numPr>
        <w:ilvl w:val="0"/>
        <w:numId w:val="4"/>
      </w:numPr>
      <w:spacing w:before="50" w:beforeLines="0" w:after="50" w:afterLines="0" w:line="14" w:lineRule="exact"/>
      <w:jc w:val="center"/>
      <w:outlineLvl w:val="0"/>
    </w:pPr>
    <w:rPr>
      <w:rFonts w:ascii="Arial" w:hAnsi="Arial"/>
      <w:color w:val="FFFFFF"/>
      <w:sz w:val="20"/>
      <w:szCs w:val="21"/>
    </w:rPr>
  </w:style>
  <w:style w:type="paragraph" w:customStyle="1" w:styleId="53">
    <w:name w:val="样式3"/>
    <w:basedOn w:val="2"/>
    <w:next w:val="1"/>
    <w:qFormat/>
    <w:uiPriority w:val="0"/>
    <w:pPr>
      <w:spacing w:before="340" w:after="330" w:line="576" w:lineRule="auto"/>
      <w:ind w:left="432" w:hanging="432" w:firstLineChars="0"/>
    </w:pPr>
    <w:rPr>
      <w:rFonts w:ascii="Times New Roman" w:hAnsi="Times New Roman"/>
      <w:bCs w:val="0"/>
      <w:szCs w:val="24"/>
    </w:rPr>
  </w:style>
  <w:style w:type="paragraph" w:customStyle="1" w:styleId="5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列项——（一级）"/>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58">
    <w:name w:val="列项●（二级）"/>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9">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示例"/>
    <w:next w:val="61"/>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1">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62">
    <w:name w:val="数字编号列项（二级）"/>
    <w:uiPriority w:val="0"/>
    <w:pPr>
      <w:numPr>
        <w:ilvl w:val="1"/>
        <w:numId w:val="7"/>
      </w:numPr>
      <w:jc w:val="both"/>
    </w:pPr>
    <w:rPr>
      <w:rFonts w:ascii="宋体" w:hAnsi="Times New Roman" w:eastAsia="宋体" w:cs="Times New Roman"/>
      <w:sz w:val="21"/>
      <w:lang w:val="en-US" w:eastAsia="zh-CN" w:bidi="ar-SA"/>
    </w:rPr>
  </w:style>
  <w:style w:type="paragraph" w:customStyle="1" w:styleId="63">
    <w:name w:val="注："/>
    <w:next w:val="29"/>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4">
    <w:name w:val="注×："/>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65">
    <w:name w:val="字母编号列项（一级）"/>
    <w:uiPriority w:val="0"/>
    <w:pPr>
      <w:numPr>
        <w:ilvl w:val="0"/>
        <w:numId w:val="7"/>
      </w:numPr>
      <w:jc w:val="both"/>
    </w:pPr>
    <w:rPr>
      <w:rFonts w:ascii="宋体" w:hAnsi="Times New Roman" w:eastAsia="宋体" w:cs="Times New Roman"/>
      <w:sz w:val="21"/>
      <w:lang w:val="en-US" w:eastAsia="zh-CN" w:bidi="ar-SA"/>
    </w:rPr>
  </w:style>
  <w:style w:type="paragraph" w:customStyle="1" w:styleId="66">
    <w:name w:val="列项◆（三级）"/>
    <w:basedOn w:val="1"/>
    <w:uiPriority w:val="0"/>
    <w:pPr>
      <w:numPr>
        <w:ilvl w:val="2"/>
        <w:numId w:val="5"/>
      </w:numPr>
    </w:pPr>
    <w:rPr>
      <w:rFonts w:ascii="宋体"/>
      <w:szCs w:val="21"/>
    </w:rPr>
  </w:style>
  <w:style w:type="paragraph" w:customStyle="1" w:styleId="67">
    <w:name w:val="编号列项（三级）"/>
    <w:uiPriority w:val="0"/>
    <w:pPr>
      <w:numPr>
        <w:ilvl w:val="2"/>
        <w:numId w:val="7"/>
      </w:numPr>
    </w:pPr>
    <w:rPr>
      <w:rFonts w:ascii="宋体" w:hAnsi="Times New Roman" w:eastAsia="宋体" w:cs="Times New Roman"/>
      <w:sz w:val="21"/>
      <w:lang w:val="en-US" w:eastAsia="zh-CN" w:bidi="ar-SA"/>
    </w:rPr>
  </w:style>
  <w:style w:type="paragraph" w:customStyle="1" w:styleId="68">
    <w:name w:val="示例×："/>
    <w:basedOn w:val="45"/>
    <w:qFormat/>
    <w:uiPriority w:val="0"/>
    <w:pPr>
      <w:numPr>
        <w:ilvl w:val="0"/>
        <w:numId w:val="10"/>
      </w:numPr>
      <w:spacing w:before="0" w:beforeLines="0" w:after="0" w:afterLines="0"/>
      <w:outlineLvl w:val="9"/>
    </w:pPr>
    <w:rPr>
      <w:rFonts w:ascii="宋体" w:eastAsia="宋体"/>
      <w:sz w:val="18"/>
      <w:szCs w:val="18"/>
    </w:rPr>
  </w:style>
  <w:style w:type="paragraph" w:customStyle="1" w:styleId="69">
    <w:name w:val="注：（正文）"/>
    <w:basedOn w:val="63"/>
    <w:next w:val="29"/>
    <w:uiPriority w:val="0"/>
  </w:style>
  <w:style w:type="paragraph" w:customStyle="1" w:styleId="70">
    <w:name w:val="注×：（正文）"/>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4">
    <w:name w:val="标准书眉_偶数页"/>
    <w:basedOn w:val="55"/>
    <w:next w:val="1"/>
    <w:uiPriority w:val="0"/>
    <w:pPr>
      <w:jc w:val="left"/>
    </w:pPr>
    <w:rPr>
      <w:rFonts w:ascii="黑体" w:eastAsia="黑体"/>
    </w:rPr>
  </w:style>
  <w:style w:type="paragraph" w:customStyle="1" w:styleId="75">
    <w:name w:val="标准书眉一"/>
    <w:uiPriority w:val="0"/>
    <w:pPr>
      <w:jc w:val="both"/>
    </w:pPr>
    <w:rPr>
      <w:rFonts w:ascii="Times New Roman" w:hAnsi="Times New Roman" w:eastAsia="宋体" w:cs="Times New Roman"/>
      <w:lang w:val="en-US" w:eastAsia="zh-CN" w:bidi="ar-SA"/>
    </w:rPr>
  </w:style>
  <w:style w:type="paragraph" w:customStyle="1" w:styleId="76">
    <w:name w:val="参考文献"/>
    <w:basedOn w:val="1"/>
    <w:next w:val="29"/>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参考文献、索引标题"/>
    <w:basedOn w:val="1"/>
    <w:next w:val="29"/>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8">
    <w:name w:val="发布部门"/>
    <w:next w:val="2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1">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3">
    <w:name w:val="封面标准英文名称"/>
    <w:basedOn w:val="82"/>
    <w:qFormat/>
    <w:uiPriority w:val="0"/>
    <w:pPr>
      <w:spacing w:before="370" w:line="400" w:lineRule="exact"/>
    </w:pPr>
    <w:rPr>
      <w:rFonts w:ascii="Times New Roman"/>
      <w:sz w:val="28"/>
      <w:szCs w:val="28"/>
    </w:rPr>
  </w:style>
  <w:style w:type="paragraph" w:customStyle="1" w:styleId="84">
    <w:name w:val="封面一致性程度标识"/>
    <w:basedOn w:val="83"/>
    <w:qFormat/>
    <w:uiPriority w:val="0"/>
    <w:pPr>
      <w:spacing w:before="440"/>
    </w:pPr>
    <w:rPr>
      <w:rFonts w:ascii="宋体" w:eastAsia="宋体"/>
    </w:rPr>
  </w:style>
  <w:style w:type="paragraph" w:customStyle="1" w:styleId="85">
    <w:name w:val="封面标准文稿类别"/>
    <w:basedOn w:val="84"/>
    <w:qFormat/>
    <w:uiPriority w:val="0"/>
    <w:pPr>
      <w:spacing w:after="160" w:line="240" w:lineRule="auto"/>
    </w:pPr>
    <w:rPr>
      <w:sz w:val="24"/>
    </w:rPr>
  </w:style>
  <w:style w:type="paragraph" w:customStyle="1" w:styleId="86">
    <w:name w:val="封面标准文稿编辑信息"/>
    <w:basedOn w:val="85"/>
    <w:qFormat/>
    <w:uiPriority w:val="0"/>
    <w:pPr>
      <w:spacing w:before="180" w:line="180" w:lineRule="exact"/>
    </w:pPr>
    <w:rPr>
      <w:sz w:val="21"/>
    </w:rPr>
  </w:style>
  <w:style w:type="paragraph" w:customStyle="1" w:styleId="87">
    <w:name w:val="封面正文"/>
    <w:uiPriority w:val="0"/>
    <w:pPr>
      <w:jc w:val="both"/>
    </w:pPr>
    <w:rPr>
      <w:rFonts w:ascii="Times New Roman" w:hAnsi="Times New Roman" w:eastAsia="宋体" w:cs="Times New Roman"/>
      <w:lang w:val="en-US" w:eastAsia="zh-CN" w:bidi="ar-SA"/>
    </w:rPr>
  </w:style>
  <w:style w:type="paragraph" w:customStyle="1" w:styleId="88">
    <w:name w:val="附录标识"/>
    <w:basedOn w:val="1"/>
    <w:next w:val="29"/>
    <w:qFormat/>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9">
    <w:name w:val="附录标题"/>
    <w:basedOn w:val="29"/>
    <w:next w:val="29"/>
    <w:uiPriority w:val="0"/>
    <w:pPr>
      <w:ind w:firstLine="0" w:firstLineChars="0"/>
      <w:jc w:val="center"/>
    </w:pPr>
    <w:rPr>
      <w:rFonts w:ascii="黑体" w:eastAsia="黑体"/>
    </w:rPr>
  </w:style>
  <w:style w:type="paragraph" w:customStyle="1" w:styleId="90">
    <w:name w:val="附录表标号"/>
    <w:basedOn w:val="1"/>
    <w:next w:val="29"/>
    <w:uiPriority w:val="0"/>
    <w:pPr>
      <w:numPr>
        <w:ilvl w:val="0"/>
        <w:numId w:val="13"/>
      </w:numPr>
      <w:tabs>
        <w:tab w:val="clear" w:pos="0"/>
      </w:tabs>
      <w:spacing w:line="14" w:lineRule="exact"/>
      <w:ind w:left="811" w:hanging="448"/>
      <w:jc w:val="center"/>
      <w:outlineLvl w:val="0"/>
    </w:pPr>
    <w:rPr>
      <w:color w:val="FFFFFF"/>
    </w:rPr>
  </w:style>
  <w:style w:type="paragraph" w:customStyle="1" w:styleId="91">
    <w:name w:val="附录表标题"/>
    <w:basedOn w:val="1"/>
    <w:next w:val="29"/>
    <w:uiPriority w:val="0"/>
    <w:pPr>
      <w:numPr>
        <w:ilvl w:val="1"/>
        <w:numId w:val="13"/>
      </w:numPr>
      <w:tabs>
        <w:tab w:val="left" w:pos="180"/>
      </w:tabs>
      <w:spacing w:before="50" w:beforeLines="50" w:after="50" w:afterLines="50"/>
      <w:ind w:left="0" w:firstLine="0"/>
      <w:jc w:val="center"/>
    </w:pPr>
    <w:rPr>
      <w:rFonts w:ascii="黑体" w:eastAsia="黑体"/>
      <w:szCs w:val="21"/>
    </w:rPr>
  </w:style>
  <w:style w:type="paragraph" w:customStyle="1" w:styleId="92">
    <w:name w:val="附录二级条标题"/>
    <w:basedOn w:val="1"/>
    <w:next w:val="29"/>
    <w:qFormat/>
    <w:uiPriority w:val="0"/>
    <w:pPr>
      <w:widowControl/>
      <w:numPr>
        <w:ilvl w:val="3"/>
        <w:numId w:val="1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3">
    <w:name w:val="附录二级无"/>
    <w:basedOn w:val="92"/>
    <w:qFormat/>
    <w:uiPriority w:val="0"/>
    <w:pPr>
      <w:tabs>
        <w:tab w:val="clear" w:pos="360"/>
      </w:tabs>
      <w:spacing w:before="0" w:beforeLines="0" w:after="0" w:afterLines="0"/>
    </w:pPr>
    <w:rPr>
      <w:rFonts w:ascii="宋体" w:eastAsia="宋体"/>
      <w:szCs w:val="21"/>
    </w:rPr>
  </w:style>
  <w:style w:type="paragraph" w:customStyle="1" w:styleId="94">
    <w:name w:val="附录公式"/>
    <w:basedOn w:val="29"/>
    <w:next w:val="29"/>
    <w:link w:val="144"/>
    <w:qFormat/>
    <w:uiPriority w:val="0"/>
  </w:style>
  <w:style w:type="paragraph" w:customStyle="1" w:styleId="95">
    <w:name w:val="附录公式编号制表符"/>
    <w:basedOn w:val="1"/>
    <w:next w:val="29"/>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2"/>
    <w:next w:val="29"/>
    <w:uiPriority w:val="0"/>
    <w:pPr>
      <w:numPr>
        <w:ilvl w:val="4"/>
        <w:numId w:val="12"/>
      </w:numPr>
      <w:outlineLvl w:val="4"/>
    </w:pPr>
  </w:style>
  <w:style w:type="paragraph" w:customStyle="1" w:styleId="97">
    <w:name w:val="附录三级无"/>
    <w:basedOn w:val="96"/>
    <w:uiPriority w:val="0"/>
    <w:pPr>
      <w:tabs>
        <w:tab w:val="clear" w:pos="360"/>
      </w:tabs>
      <w:spacing w:before="0" w:beforeLines="0" w:after="0" w:afterLines="0"/>
    </w:pPr>
    <w:rPr>
      <w:rFonts w:ascii="宋体" w:eastAsia="宋体"/>
      <w:szCs w:val="21"/>
    </w:rPr>
  </w:style>
  <w:style w:type="paragraph" w:customStyle="1" w:styleId="98">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99">
    <w:name w:val="附录四级条标题"/>
    <w:basedOn w:val="96"/>
    <w:next w:val="29"/>
    <w:uiPriority w:val="0"/>
    <w:pPr>
      <w:numPr>
        <w:ilvl w:val="5"/>
        <w:numId w:val="12"/>
      </w:numPr>
      <w:outlineLvl w:val="5"/>
    </w:pPr>
  </w:style>
  <w:style w:type="paragraph" w:customStyle="1" w:styleId="100">
    <w:name w:val="附录四级无"/>
    <w:basedOn w:val="99"/>
    <w:uiPriority w:val="0"/>
    <w:pPr>
      <w:tabs>
        <w:tab w:val="clear" w:pos="360"/>
      </w:tabs>
      <w:spacing w:before="0" w:beforeLines="0" w:after="0" w:afterLines="0"/>
    </w:pPr>
    <w:rPr>
      <w:rFonts w:ascii="宋体" w:eastAsia="宋体"/>
      <w:szCs w:val="21"/>
    </w:rPr>
  </w:style>
  <w:style w:type="paragraph" w:customStyle="1" w:styleId="101">
    <w:name w:val="附录图标号"/>
    <w:basedOn w:val="1"/>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02">
    <w:name w:val="附录图标题"/>
    <w:basedOn w:val="1"/>
    <w:next w:val="29"/>
    <w:uiPriority w:val="0"/>
    <w:pPr>
      <w:numPr>
        <w:ilvl w:val="1"/>
        <w:numId w:val="15"/>
      </w:numPr>
      <w:tabs>
        <w:tab w:val="left" w:pos="363"/>
      </w:tabs>
      <w:spacing w:before="50" w:beforeLines="50" w:after="50" w:afterLines="50"/>
      <w:ind w:left="0" w:firstLine="0"/>
      <w:jc w:val="center"/>
    </w:pPr>
    <w:rPr>
      <w:rFonts w:ascii="黑体" w:eastAsia="黑体"/>
      <w:szCs w:val="21"/>
    </w:rPr>
  </w:style>
  <w:style w:type="paragraph" w:customStyle="1" w:styleId="103">
    <w:name w:val="附录五级条标题"/>
    <w:basedOn w:val="99"/>
    <w:next w:val="29"/>
    <w:uiPriority w:val="0"/>
    <w:pPr>
      <w:numPr>
        <w:ilvl w:val="6"/>
        <w:numId w:val="12"/>
      </w:numPr>
      <w:outlineLvl w:val="6"/>
    </w:pPr>
  </w:style>
  <w:style w:type="paragraph" w:customStyle="1" w:styleId="104">
    <w:name w:val="附录五级无"/>
    <w:basedOn w:val="103"/>
    <w:uiPriority w:val="0"/>
    <w:pPr>
      <w:tabs>
        <w:tab w:val="clear" w:pos="360"/>
      </w:tabs>
      <w:spacing w:before="0" w:beforeLines="0" w:after="0" w:afterLines="0"/>
    </w:pPr>
    <w:rPr>
      <w:rFonts w:ascii="宋体" w:eastAsia="宋体"/>
      <w:szCs w:val="21"/>
    </w:rPr>
  </w:style>
  <w:style w:type="paragraph" w:customStyle="1" w:styleId="105">
    <w:name w:val="附录章标题"/>
    <w:next w:val="29"/>
    <w:qFormat/>
    <w:uiPriority w:val="0"/>
    <w:pPr>
      <w:numPr>
        <w:ilvl w:val="1"/>
        <w:numId w:val="1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9"/>
    <w:qFormat/>
    <w:uiPriority w:val="0"/>
    <w:pPr>
      <w:numPr>
        <w:ilvl w:val="2"/>
        <w:numId w:val="12"/>
      </w:numPr>
      <w:autoSpaceDN w:val="0"/>
      <w:spacing w:before="50" w:beforeLines="50" w:after="50" w:afterLines="50"/>
      <w:outlineLvl w:val="2"/>
    </w:pPr>
  </w:style>
  <w:style w:type="paragraph" w:customStyle="1" w:styleId="107">
    <w:name w:val="附录一级无"/>
    <w:basedOn w:val="106"/>
    <w:qFormat/>
    <w:uiPriority w:val="0"/>
    <w:pPr>
      <w:tabs>
        <w:tab w:val="clear" w:pos="360"/>
      </w:tabs>
      <w:spacing w:before="0" w:beforeLines="0" w:after="0" w:afterLines="0"/>
    </w:pPr>
    <w:rPr>
      <w:rFonts w:ascii="宋体" w:eastAsia="宋体"/>
      <w:szCs w:val="21"/>
    </w:rPr>
  </w:style>
  <w:style w:type="paragraph" w:customStyle="1" w:styleId="108">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0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71"/>
    <w:qFormat/>
    <w:uiPriority w:val="0"/>
    <w:pPr>
      <w:framePr w:w="6101" w:vAnchor="page" w:hAnchor="page" w:x="4673" w:y="942"/>
    </w:pPr>
    <w:rPr>
      <w:w w:val="130"/>
    </w:r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8"/>
    <w:qFormat/>
    <w:uiPriority w:val="0"/>
    <w:pPr>
      <w:framePr w:y="15310"/>
      <w:spacing w:line="0" w:lineRule="atLeast"/>
    </w:pPr>
    <w:rPr>
      <w:rFonts w:ascii="黑体" w:eastAsia="黑体"/>
      <w:b w:val="0"/>
    </w:rPr>
  </w:style>
  <w:style w:type="paragraph" w:customStyle="1" w:styleId="115">
    <w:name w:val="前言、引言标题"/>
    <w:next w:val="2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49"/>
    <w:uiPriority w:val="0"/>
    <w:pPr>
      <w:spacing w:before="0" w:beforeLines="0" w:after="0" w:afterLines="0"/>
    </w:pPr>
    <w:rPr>
      <w:rFonts w:ascii="宋体" w:eastAsia="宋体"/>
    </w:rPr>
  </w:style>
  <w:style w:type="paragraph" w:customStyle="1" w:styleId="117">
    <w:name w:val="实施日期"/>
    <w:basedOn w:val="79"/>
    <w:qFormat/>
    <w:uiPriority w:val="0"/>
    <w:pPr>
      <w:framePr w:vAnchor="page" w:hAnchor="page"/>
      <w:jc w:val="right"/>
    </w:pPr>
  </w:style>
  <w:style w:type="paragraph" w:customStyle="1" w:styleId="118">
    <w:name w:val="示例后文字"/>
    <w:basedOn w:val="29"/>
    <w:next w:val="29"/>
    <w:qFormat/>
    <w:uiPriority w:val="0"/>
    <w:pPr>
      <w:ind w:firstLine="360"/>
    </w:pPr>
    <w:rPr>
      <w:sz w:val="18"/>
    </w:rPr>
  </w:style>
  <w:style w:type="paragraph" w:customStyle="1" w:styleId="119">
    <w:name w:val="首示例"/>
    <w:next w:val="29"/>
    <w:link w:val="145"/>
    <w:qFormat/>
    <w:uiPriority w:val="0"/>
    <w:pPr>
      <w:numPr>
        <w:ilvl w:val="0"/>
        <w:numId w:val="16"/>
      </w:numPr>
      <w:tabs>
        <w:tab w:val="left" w:pos="360"/>
      </w:tabs>
      <w:ind w:firstLine="0"/>
    </w:pPr>
    <w:rPr>
      <w:rFonts w:ascii="宋体" w:hAnsi="宋体" w:eastAsia="宋体" w:cs="Times New Roman"/>
      <w:kern w:val="2"/>
      <w:sz w:val="18"/>
      <w:szCs w:val="18"/>
      <w:lang w:val="en-US" w:eastAsia="zh-CN" w:bidi="ar-SA"/>
    </w:rPr>
  </w:style>
  <w:style w:type="paragraph" w:customStyle="1" w:styleId="120">
    <w:name w:val="四级无"/>
    <w:basedOn w:val="50"/>
    <w:uiPriority w:val="0"/>
    <w:pPr>
      <w:spacing w:before="0" w:beforeLines="0" w:after="0" w:afterLines="0"/>
    </w:pPr>
    <w:rPr>
      <w:rFonts w:ascii="宋体" w:eastAsia="宋体"/>
    </w:rPr>
  </w:style>
  <w:style w:type="paragraph" w:customStyle="1" w:styleId="121">
    <w:name w:val="条文脚注"/>
    <w:basedOn w:val="30"/>
    <w:uiPriority w:val="0"/>
    <w:pPr>
      <w:numPr>
        <w:ilvl w:val="0"/>
        <w:numId w:val="0"/>
      </w:numPr>
      <w:jc w:val="both"/>
    </w:pPr>
    <w:rPr>
      <w:rFonts w:ascii="宋体"/>
    </w:rPr>
  </w:style>
  <w:style w:type="paragraph" w:customStyle="1" w:styleId="122">
    <w:name w:val="图标脚注说明"/>
    <w:basedOn w:val="29"/>
    <w:uiPriority w:val="0"/>
    <w:pPr>
      <w:ind w:left="840" w:hanging="420" w:firstLineChars="0"/>
    </w:pPr>
    <w:rPr>
      <w:sz w:val="18"/>
      <w:szCs w:val="18"/>
    </w:rPr>
  </w:style>
  <w:style w:type="paragraph" w:customStyle="1" w:styleId="123">
    <w:name w:val="图表脚注说明"/>
    <w:basedOn w:val="1"/>
    <w:uiPriority w:val="0"/>
    <w:pPr>
      <w:numPr>
        <w:ilvl w:val="0"/>
        <w:numId w:val="17"/>
      </w:numPr>
    </w:pPr>
    <w:rPr>
      <w:rFonts w:ascii="宋体"/>
      <w:sz w:val="18"/>
      <w:szCs w:val="18"/>
    </w:rPr>
  </w:style>
  <w:style w:type="paragraph" w:customStyle="1" w:styleId="124">
    <w:name w:val="图的脚注"/>
    <w:next w:val="2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1"/>
    <w:uiPriority w:val="0"/>
    <w:pPr>
      <w:spacing w:before="0" w:beforeLines="0" w:after="0" w:afterLines="0"/>
    </w:pPr>
    <w:rPr>
      <w:rFonts w:ascii="宋体" w:eastAsia="宋体"/>
    </w:rPr>
  </w:style>
  <w:style w:type="paragraph" w:customStyle="1" w:styleId="127">
    <w:name w:val="一级无"/>
    <w:basedOn w:val="46"/>
    <w:uiPriority w:val="0"/>
    <w:pPr>
      <w:spacing w:before="0" w:beforeLines="0" w:after="0" w:afterLines="0"/>
    </w:pPr>
    <w:rPr>
      <w:rFonts w:ascii="宋体" w:eastAsia="宋体"/>
    </w:rPr>
  </w:style>
  <w:style w:type="paragraph" w:customStyle="1" w:styleId="128">
    <w:name w:val="正文表标题"/>
    <w:next w:val="29"/>
    <w:uiPriority w:val="0"/>
    <w:pPr>
      <w:numPr>
        <w:ilvl w:val="0"/>
        <w:numId w:val="18"/>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9"/>
    <w:next w:val="29"/>
    <w:qFormat/>
    <w:uiPriority w:val="0"/>
    <w:pPr>
      <w:ind w:firstLine="0" w:firstLineChars="0"/>
    </w:pPr>
  </w:style>
  <w:style w:type="paragraph" w:customStyle="1" w:styleId="130">
    <w:name w:val="正文图标题"/>
    <w:next w:val="29"/>
    <w:uiPriority w:val="0"/>
    <w:pPr>
      <w:numPr>
        <w:ilvl w:val="0"/>
        <w:numId w:val="19"/>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1">
    <w:name w:val="终结线"/>
    <w:basedOn w:val="1"/>
    <w:uiPriority w:val="0"/>
    <w:pPr>
      <w:framePr w:hSpace="181" w:vSpace="181" w:wrap="around" w:vAnchor="text" w:hAnchor="margin" w:xAlign="center" w:y="285"/>
    </w:pPr>
  </w:style>
  <w:style w:type="paragraph" w:customStyle="1" w:styleId="132">
    <w:name w:val="其他发布日期"/>
    <w:basedOn w:val="79"/>
    <w:qFormat/>
    <w:uiPriority w:val="0"/>
    <w:pPr>
      <w:framePr w:vAnchor="page" w:hAnchor="page" w:x="1419"/>
    </w:pPr>
  </w:style>
  <w:style w:type="paragraph" w:customStyle="1" w:styleId="133">
    <w:name w:val="其他实施日期"/>
    <w:basedOn w:val="117"/>
    <w:qFormat/>
    <w:uiPriority w:val="0"/>
  </w:style>
  <w:style w:type="paragraph" w:customStyle="1" w:styleId="134">
    <w:name w:val="封面标准名称2"/>
    <w:basedOn w:val="82"/>
    <w:uiPriority w:val="0"/>
    <w:pPr>
      <w:framePr w:y="4469"/>
      <w:spacing w:before="630" w:beforeLines="630"/>
    </w:pPr>
  </w:style>
  <w:style w:type="paragraph" w:customStyle="1" w:styleId="135">
    <w:name w:val="封面标准英文名称2"/>
    <w:basedOn w:val="83"/>
    <w:uiPriority w:val="0"/>
    <w:pPr>
      <w:framePr w:y="4469"/>
    </w:pPr>
  </w:style>
  <w:style w:type="paragraph" w:customStyle="1" w:styleId="136">
    <w:name w:val="封面一致性程度标识2"/>
    <w:basedOn w:val="84"/>
    <w:uiPriority w:val="0"/>
    <w:pPr>
      <w:framePr w:y="4469"/>
    </w:pPr>
  </w:style>
  <w:style w:type="paragraph" w:customStyle="1" w:styleId="137">
    <w:name w:val="封面标准文稿类别2"/>
    <w:basedOn w:val="85"/>
    <w:uiPriority w:val="0"/>
    <w:pPr>
      <w:framePr w:y="4469"/>
    </w:pPr>
  </w:style>
  <w:style w:type="paragraph" w:customStyle="1" w:styleId="138">
    <w:name w:val="封面标准文稿编辑信息2"/>
    <w:basedOn w:val="86"/>
    <w:uiPriority w:val="0"/>
    <w:pPr>
      <w:framePr w:y="4469"/>
    </w:pPr>
  </w:style>
  <w:style w:type="paragraph" w:customStyle="1" w:styleId="139">
    <w:name w:val="Body text|1"/>
    <w:basedOn w:val="1"/>
    <w:qFormat/>
    <w:uiPriority w:val="0"/>
    <w:pPr>
      <w:spacing w:line="343" w:lineRule="auto"/>
      <w:jc w:val="left"/>
    </w:pPr>
    <w:rPr>
      <w:rFonts w:ascii="宋体" w:hAnsi="宋体" w:cs="宋体"/>
      <w:color w:val="48494E"/>
      <w:kern w:val="0"/>
      <w:sz w:val="20"/>
      <w:szCs w:val="20"/>
      <w:lang w:val="zh-CN" w:bidi="zh-CN"/>
    </w:rPr>
  </w:style>
  <w:style w:type="paragraph" w:customStyle="1" w:styleId="140">
    <w:name w:val="样式1"/>
    <w:basedOn w:val="2"/>
    <w:next w:val="1"/>
    <w:qFormat/>
    <w:uiPriority w:val="0"/>
    <w:pPr>
      <w:spacing w:before="340" w:after="330" w:line="576" w:lineRule="auto"/>
      <w:ind w:left="432" w:hanging="432" w:firstLineChars="0"/>
    </w:pPr>
    <w:rPr>
      <w:rFonts w:ascii="Times New Roman" w:hAnsi="Times New Roman"/>
      <w:bCs w:val="0"/>
      <w:szCs w:val="24"/>
    </w:rPr>
  </w:style>
  <w:style w:type="paragraph" w:customStyle="1" w:styleId="141">
    <w:name w:val="样式2"/>
    <w:basedOn w:val="2"/>
    <w:next w:val="1"/>
    <w:qFormat/>
    <w:uiPriority w:val="0"/>
    <w:pPr>
      <w:spacing w:before="340" w:after="330" w:line="576" w:lineRule="auto"/>
      <w:ind w:left="432" w:hanging="432" w:firstLineChars="0"/>
    </w:pPr>
    <w:rPr>
      <w:rFonts w:ascii="Times New Roman" w:hAnsi="Times New Roman"/>
      <w:bCs w:val="0"/>
      <w:sz w:val="21"/>
      <w:szCs w:val="24"/>
    </w:rPr>
  </w:style>
  <w:style w:type="character" w:customStyle="1" w:styleId="142">
    <w:name w:val="段 Char"/>
    <w:link w:val="29"/>
    <w:uiPriority w:val="0"/>
    <w:rPr>
      <w:rFonts w:ascii="宋体"/>
      <w:sz w:val="21"/>
      <w:lang w:val="en-US" w:eastAsia="zh-CN" w:bidi="ar-SA"/>
    </w:rPr>
  </w:style>
  <w:style w:type="character" w:customStyle="1" w:styleId="143">
    <w:name w:val="发布"/>
    <w:qFormat/>
    <w:uiPriority w:val="0"/>
    <w:rPr>
      <w:rFonts w:ascii="黑体" w:eastAsia="黑体"/>
      <w:spacing w:val="85"/>
      <w:w w:val="100"/>
      <w:position w:val="3"/>
      <w:sz w:val="28"/>
      <w:szCs w:val="28"/>
    </w:rPr>
  </w:style>
  <w:style w:type="character" w:customStyle="1" w:styleId="144">
    <w:name w:val="附录公式 Char"/>
    <w:basedOn w:val="142"/>
    <w:link w:val="94"/>
    <w:uiPriority w:val="0"/>
  </w:style>
  <w:style w:type="character" w:customStyle="1" w:styleId="145">
    <w:name w:val="首示例 Char"/>
    <w:link w:val="119"/>
    <w:uiPriority w:val="0"/>
    <w:rPr>
      <w:rFonts w:ascii="宋体" w:hAnsi="宋体"/>
      <w:kern w:val="2"/>
      <w:sz w:val="18"/>
      <w:szCs w:val="18"/>
      <w:lang w:val="en-US" w:eastAsia="zh-CN" w:bidi="ar-SA"/>
    </w:rPr>
  </w:style>
  <w:style w:type="character" w:customStyle="1" w:styleId="146">
    <w:name w:val="标题 1 字符"/>
    <w:link w:val="2"/>
    <w:uiPriority w:val="0"/>
    <w:rPr>
      <w:rFonts w:ascii="黑体" w:hAnsi="黑体" w:eastAsia="黑体"/>
      <w:bCs/>
      <w:kern w:val="44"/>
      <w:sz w:val="32"/>
      <w:szCs w:val="44"/>
    </w:rPr>
  </w:style>
  <w:style w:type="character" w:customStyle="1" w:styleId="147">
    <w:name w:val="标题 2 字符"/>
    <w:link w:val="3"/>
    <w:qFormat/>
    <w:uiPriority w:val="0"/>
    <w:rPr>
      <w:rFonts w:ascii="楷体_GB2312" w:hAnsi="Calibri Light" w:eastAsia="楷体_GB2312"/>
      <w:bCs/>
      <w:kern w:val="2"/>
      <w:sz w:val="32"/>
      <w:szCs w:val="32"/>
    </w:rPr>
  </w:style>
  <w:style w:type="character" w:customStyle="1" w:styleId="148">
    <w:name w:val="标题 3 字符"/>
    <w:link w:val="4"/>
    <w:qFormat/>
    <w:uiPriority w:val="0"/>
    <w:rPr>
      <w:kern w:val="2"/>
      <w:sz w:val="21"/>
      <w:szCs w:val="24"/>
    </w:rPr>
  </w:style>
  <w:style w:type="character" w:customStyle="1" w:styleId="149">
    <w:name w:val="标题 4 字符"/>
    <w:link w:val="5"/>
    <w:uiPriority w:val="0"/>
    <w:rPr>
      <w:rFonts w:ascii="Arial" w:hAnsi="Arial"/>
      <w:kern w:val="2"/>
      <w:sz w:val="21"/>
      <w:szCs w:val="24"/>
    </w:rPr>
  </w:style>
  <w:style w:type="character" w:customStyle="1" w:styleId="150">
    <w:name w:val="标题 5 字符"/>
    <w:link w:val="6"/>
    <w:semiHidden/>
    <w:uiPriority w:val="0"/>
    <w:rPr>
      <w:b/>
      <w:kern w:val="2"/>
      <w:sz w:val="28"/>
      <w:szCs w:val="24"/>
    </w:rPr>
  </w:style>
  <w:style w:type="character" w:customStyle="1" w:styleId="151">
    <w:name w:val="标题 6 字符"/>
    <w:link w:val="7"/>
    <w:semiHidden/>
    <w:uiPriority w:val="0"/>
    <w:rPr>
      <w:rFonts w:ascii="Arial" w:hAnsi="Arial" w:eastAsia="黑体"/>
      <w:b/>
      <w:kern w:val="2"/>
      <w:sz w:val="24"/>
      <w:szCs w:val="24"/>
    </w:rPr>
  </w:style>
  <w:style w:type="character" w:customStyle="1" w:styleId="152">
    <w:name w:val="标题 7 字符"/>
    <w:link w:val="8"/>
    <w:semiHidden/>
    <w:uiPriority w:val="0"/>
    <w:rPr>
      <w:b/>
      <w:kern w:val="2"/>
      <w:sz w:val="24"/>
      <w:szCs w:val="24"/>
    </w:rPr>
  </w:style>
  <w:style w:type="character" w:customStyle="1" w:styleId="153">
    <w:name w:val="标题 8 字符"/>
    <w:link w:val="9"/>
    <w:semiHidden/>
    <w:uiPriority w:val="0"/>
    <w:rPr>
      <w:rFonts w:ascii="Arial" w:hAnsi="Arial" w:eastAsia="黑体"/>
      <w:kern w:val="2"/>
      <w:sz w:val="24"/>
      <w:szCs w:val="24"/>
    </w:rPr>
  </w:style>
  <w:style w:type="character" w:customStyle="1" w:styleId="154">
    <w:name w:val="标题 9 字符"/>
    <w:link w:val="10"/>
    <w:semiHidden/>
    <w:uiPriority w:val="0"/>
    <w:rPr>
      <w:rFonts w:ascii="Arial" w:hAnsi="Arial" w:eastAsia="黑体"/>
      <w:kern w:val="2"/>
      <w:sz w:val="21"/>
      <w:szCs w:val="24"/>
    </w:rPr>
  </w:style>
  <w:style w:type="character" w:customStyle="1" w:styleId="155">
    <w:name w:val="页脚 字符"/>
    <w:link w:val="23"/>
    <w:uiPriority w:val="0"/>
    <w:rPr>
      <w:kern w:val="2"/>
      <w:sz w:val="18"/>
      <w:szCs w:val="18"/>
    </w:rPr>
  </w:style>
  <w:style w:type="character" w:customStyle="1" w:styleId="156">
    <w:name w:val="页眉 字符"/>
    <w:link w:val="24"/>
    <w:uiPriority w:val="0"/>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49"/>
    <customShpInfo spid="_x0000_s2054"/>
    <customShpInfo spid="_x0000_s2053"/>
    <customShpInfo spid="_x0000_s2052"/>
    <customShpInfo spid="_x0000_s1036"/>
    <customShpInfo spid="_x0000_s1038"/>
    <customShpInfo spid="_x0000_s1037"/>
    <customShpInfo spid="_x0000_s1034"/>
    <customShpInfo spid="_x0000_s1039"/>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2201</Words>
  <Characters>12548</Characters>
  <Lines>104</Lines>
  <Paragraphs>29</Paragraphs>
  <TotalTime>1</TotalTime>
  <ScaleCrop>false</ScaleCrop>
  <LinksUpToDate>false</LinksUpToDate>
  <CharactersWithSpaces>14720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2009-06-19T05:05:00Z</dcterms:created>
  <dcterms:modified xsi:type="dcterms:W3CDTF">2019-10-09T08:29:12Z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